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45D0B" w14:textId="05A522A7" w:rsidR="00F853F9" w:rsidRDefault="00FA1AF7">
      <w:pPr>
        <w:pStyle w:val="Title"/>
      </w:pPr>
      <w:r>
        <w:t>From Policy Creep to Pataphysics (in Higher Education)</w:t>
      </w:r>
      <w:r w:rsidR="00F853F9">
        <w:rPr>
          <w:rStyle w:val="EndnoteReference"/>
        </w:rPr>
        <w:endnoteReference w:id="1"/>
      </w:r>
    </w:p>
    <w:p w14:paraId="1A723D60" w14:textId="149A330A" w:rsidR="00F853F9" w:rsidRDefault="00F853F9">
      <w:pPr>
        <w:pStyle w:val="Author"/>
      </w:pPr>
      <w:r>
        <w:t xml:space="preserve">Elijah </w:t>
      </w:r>
      <w:proofErr w:type="spellStart"/>
      <w:r>
        <w:t>Millgram</w:t>
      </w:r>
      <w:proofErr w:type="spellEnd"/>
      <w:r>
        <w:br/>
        <w:t>Department of Philosophy</w:t>
      </w:r>
      <w:r>
        <w:br/>
        <w:t>University of Utah</w:t>
      </w:r>
      <w:r>
        <w:br/>
        <w:t>Salt Lake City UT 84112</w:t>
      </w:r>
      <w:r>
        <w:br/>
      </w:r>
      <w:hyperlink r:id="rId7" w:history="1">
        <w:r w:rsidR="00C80486" w:rsidRPr="00616C9B">
          <w:rPr>
            <w:rStyle w:val="Hyperlink"/>
          </w:rPr>
          <w:t>elijah.millgram@gmail.com</w:t>
        </w:r>
      </w:hyperlink>
    </w:p>
    <w:p w14:paraId="6B949210" w14:textId="7AA4BC21" w:rsidR="00C80486" w:rsidRDefault="00C80486" w:rsidP="00C80486">
      <w:pPr>
        <w:pStyle w:val="BodyText"/>
      </w:pPr>
    </w:p>
    <w:p w14:paraId="5C354C6A" w14:textId="77777777" w:rsidR="00C80486" w:rsidRPr="000E6E06" w:rsidRDefault="00C80486" w:rsidP="00C80486">
      <w:pPr>
        <w:pStyle w:val="PlainText"/>
        <w:rPr>
          <w:rFonts w:asciiTheme="minorHAnsi" w:hAnsiTheme="minorHAnsi" w:cs="Courier New"/>
        </w:rPr>
      </w:pPr>
      <w:r w:rsidRPr="000E6E06">
        <w:rPr>
          <w:rFonts w:asciiTheme="minorHAnsi" w:hAnsiTheme="minorHAnsi" w:cs="Courier New"/>
        </w:rPr>
        <w:t>Abstract:</w:t>
      </w:r>
    </w:p>
    <w:p w14:paraId="03C16AB5" w14:textId="77777777" w:rsidR="00C80486" w:rsidRPr="000E6E06" w:rsidRDefault="00C80486" w:rsidP="00C80486">
      <w:pPr>
        <w:pStyle w:val="PlainText"/>
        <w:rPr>
          <w:rFonts w:asciiTheme="minorHAnsi" w:hAnsiTheme="minorHAnsi" w:cs="Courier New"/>
        </w:rPr>
      </w:pPr>
    </w:p>
    <w:p w14:paraId="63475BC3" w14:textId="79405E98" w:rsidR="00C80486" w:rsidRPr="000E6E06" w:rsidRDefault="00C80486" w:rsidP="00C80486">
      <w:pPr>
        <w:pStyle w:val="PlainText"/>
        <w:rPr>
          <w:rFonts w:asciiTheme="minorHAnsi" w:hAnsiTheme="minorHAnsi" w:cs="Courier New"/>
        </w:rPr>
      </w:pPr>
      <w:r w:rsidRPr="000E6E06">
        <w:rPr>
          <w:rFonts w:asciiTheme="minorHAnsi" w:hAnsiTheme="minorHAnsi" w:cs="Courier New"/>
        </w:rPr>
        <w:t>In an educational institution, there is always a reason to adopt another policy.  Policies have to be implemented as procedures, and procedures compete for resources and time with the primary activities of an educational institution -- teaching, and in the case of higher education, research.  We are very close to seeing these primary activities squeezed entirely out of our present educational system, and rescuing those core functions evidently requires deinstitutionalization.  After considering bounded rationality and bounded volition</w:t>
      </w:r>
      <w:r w:rsidR="00906F4E" w:rsidRPr="000E6E06">
        <w:rPr>
          <w:rFonts w:asciiTheme="minorHAnsi" w:hAnsiTheme="minorHAnsi" w:cs="Courier New"/>
        </w:rPr>
        <w:t xml:space="preserve"> </w:t>
      </w:r>
      <w:r w:rsidRPr="000E6E06">
        <w:rPr>
          <w:rFonts w:asciiTheme="minorHAnsi" w:hAnsiTheme="minorHAnsi" w:cs="Courier New"/>
        </w:rPr>
        <w:t>accounts of the role of institutions, the question of</w:t>
      </w:r>
      <w:r w:rsidR="00906F4E" w:rsidRPr="000E6E06">
        <w:rPr>
          <w:rFonts w:asciiTheme="minorHAnsi" w:hAnsiTheme="minorHAnsi" w:cs="Courier New"/>
        </w:rPr>
        <w:t xml:space="preserve"> </w:t>
      </w:r>
      <w:r w:rsidRPr="000E6E06">
        <w:rPr>
          <w:rFonts w:asciiTheme="minorHAnsi" w:hAnsiTheme="minorHAnsi" w:cs="Courier New"/>
        </w:rPr>
        <w:t>how emerging AI technologies can support the devolution of</w:t>
      </w:r>
      <w:r w:rsidR="00906F4E" w:rsidRPr="000E6E06">
        <w:rPr>
          <w:rFonts w:asciiTheme="minorHAnsi" w:hAnsiTheme="minorHAnsi" w:cs="Courier New"/>
        </w:rPr>
        <w:t xml:space="preserve"> </w:t>
      </w:r>
      <w:r w:rsidRPr="000E6E06">
        <w:rPr>
          <w:rFonts w:asciiTheme="minorHAnsi" w:hAnsiTheme="minorHAnsi" w:cs="Courier New"/>
        </w:rPr>
        <w:t>pedagogy to noninstitutional providers is taken up.</w:t>
      </w:r>
    </w:p>
    <w:p w14:paraId="4398237A" w14:textId="77777777" w:rsidR="00C80486" w:rsidRPr="000E6E06" w:rsidRDefault="00C80486" w:rsidP="00C80486">
      <w:pPr>
        <w:pStyle w:val="PlainText"/>
        <w:rPr>
          <w:rFonts w:asciiTheme="minorHAnsi" w:hAnsiTheme="minorHAnsi" w:cs="Courier New"/>
        </w:rPr>
      </w:pPr>
    </w:p>
    <w:p w14:paraId="3E95DEC8" w14:textId="77777777" w:rsidR="00C80486" w:rsidRPr="000E6E06" w:rsidRDefault="00C80486" w:rsidP="00C80486">
      <w:pPr>
        <w:pStyle w:val="PlainText"/>
        <w:rPr>
          <w:rFonts w:asciiTheme="minorHAnsi" w:hAnsiTheme="minorHAnsi" w:cs="Courier New"/>
        </w:rPr>
      </w:pPr>
      <w:r w:rsidRPr="000E6E06">
        <w:rPr>
          <w:rFonts w:asciiTheme="minorHAnsi" w:hAnsiTheme="minorHAnsi" w:cs="Courier New"/>
        </w:rPr>
        <w:t>Keywords:</w:t>
      </w:r>
    </w:p>
    <w:p w14:paraId="169061DF" w14:textId="77777777" w:rsidR="00C80486" w:rsidRPr="000E6E06" w:rsidRDefault="00C80486" w:rsidP="00C80486">
      <w:pPr>
        <w:pStyle w:val="PlainText"/>
        <w:rPr>
          <w:rFonts w:asciiTheme="minorHAnsi" w:hAnsiTheme="minorHAnsi" w:cs="Courier New"/>
        </w:rPr>
      </w:pPr>
    </w:p>
    <w:p w14:paraId="3C0758DE" w14:textId="77777777" w:rsidR="00C80486" w:rsidRPr="000E6E06" w:rsidRDefault="00C80486" w:rsidP="00C80486">
      <w:pPr>
        <w:pStyle w:val="PlainText"/>
        <w:rPr>
          <w:rFonts w:asciiTheme="minorHAnsi" w:hAnsiTheme="minorHAnsi" w:cs="Courier New"/>
        </w:rPr>
      </w:pPr>
      <w:r w:rsidRPr="000E6E06">
        <w:rPr>
          <w:rFonts w:asciiTheme="minorHAnsi" w:hAnsiTheme="minorHAnsi" w:cs="Courier New"/>
        </w:rPr>
        <w:t>administrative bloat</w:t>
      </w:r>
    </w:p>
    <w:p w14:paraId="00E9009D" w14:textId="77777777" w:rsidR="00C80486" w:rsidRPr="000E6E06" w:rsidRDefault="00C80486" w:rsidP="00C80486">
      <w:pPr>
        <w:pStyle w:val="PlainText"/>
        <w:rPr>
          <w:rFonts w:asciiTheme="minorHAnsi" w:hAnsiTheme="minorHAnsi" w:cs="Courier New"/>
        </w:rPr>
      </w:pPr>
      <w:r w:rsidRPr="000E6E06">
        <w:rPr>
          <w:rFonts w:asciiTheme="minorHAnsi" w:hAnsiTheme="minorHAnsi" w:cs="Courier New"/>
        </w:rPr>
        <w:t>AI (artificial intelligence)</w:t>
      </w:r>
    </w:p>
    <w:p w14:paraId="05C930D9" w14:textId="77777777" w:rsidR="00C80486" w:rsidRPr="000E6E06" w:rsidRDefault="00C80486" w:rsidP="00C80486">
      <w:pPr>
        <w:pStyle w:val="PlainText"/>
        <w:rPr>
          <w:rFonts w:asciiTheme="minorHAnsi" w:hAnsiTheme="minorHAnsi" w:cs="Courier New"/>
        </w:rPr>
      </w:pPr>
      <w:r w:rsidRPr="000E6E06">
        <w:rPr>
          <w:rFonts w:asciiTheme="minorHAnsi" w:hAnsiTheme="minorHAnsi" w:cs="Courier New"/>
        </w:rPr>
        <w:t>bounded rationality</w:t>
      </w:r>
    </w:p>
    <w:p w14:paraId="1263B5F3" w14:textId="77777777" w:rsidR="00C80486" w:rsidRPr="000E6E06" w:rsidRDefault="00C80486" w:rsidP="00C80486">
      <w:pPr>
        <w:pStyle w:val="PlainText"/>
        <w:rPr>
          <w:rFonts w:asciiTheme="minorHAnsi" w:hAnsiTheme="minorHAnsi" w:cs="Courier New"/>
        </w:rPr>
      </w:pPr>
      <w:r w:rsidRPr="000E6E06">
        <w:rPr>
          <w:rFonts w:asciiTheme="minorHAnsi" w:hAnsiTheme="minorHAnsi" w:cs="Courier New"/>
        </w:rPr>
        <w:t>bounded volition</w:t>
      </w:r>
    </w:p>
    <w:p w14:paraId="1647E455" w14:textId="77777777" w:rsidR="00C80486" w:rsidRPr="000E6E06" w:rsidRDefault="00C80486" w:rsidP="00C80486">
      <w:pPr>
        <w:pStyle w:val="PlainText"/>
        <w:rPr>
          <w:rFonts w:asciiTheme="minorHAnsi" w:hAnsiTheme="minorHAnsi" w:cs="Courier New"/>
        </w:rPr>
      </w:pPr>
      <w:r w:rsidRPr="000E6E06">
        <w:rPr>
          <w:rFonts w:asciiTheme="minorHAnsi" w:hAnsiTheme="minorHAnsi" w:cs="Courier New"/>
        </w:rPr>
        <w:t>certification inflation</w:t>
      </w:r>
    </w:p>
    <w:p w14:paraId="5F0F5C29" w14:textId="77777777" w:rsidR="00C80486" w:rsidRPr="000E6E06" w:rsidRDefault="00C80486" w:rsidP="00C80486">
      <w:pPr>
        <w:pStyle w:val="PlainText"/>
        <w:rPr>
          <w:rFonts w:asciiTheme="minorHAnsi" w:hAnsiTheme="minorHAnsi" w:cs="Courier New"/>
        </w:rPr>
      </w:pPr>
      <w:r w:rsidRPr="000E6E06">
        <w:rPr>
          <w:rFonts w:asciiTheme="minorHAnsi" w:hAnsiTheme="minorHAnsi" w:cs="Courier New"/>
        </w:rPr>
        <w:t>educational attainment</w:t>
      </w:r>
    </w:p>
    <w:p w14:paraId="6B4F87A3" w14:textId="77777777" w:rsidR="00C80486" w:rsidRPr="000E6E06" w:rsidRDefault="00C80486" w:rsidP="00C80486">
      <w:pPr>
        <w:pStyle w:val="PlainText"/>
        <w:rPr>
          <w:rFonts w:asciiTheme="minorHAnsi" w:hAnsiTheme="minorHAnsi" w:cs="Courier New"/>
        </w:rPr>
      </w:pPr>
      <w:r w:rsidRPr="000E6E06">
        <w:rPr>
          <w:rFonts w:asciiTheme="minorHAnsi" w:hAnsiTheme="minorHAnsi" w:cs="Courier New"/>
        </w:rPr>
        <w:t>grade inflation</w:t>
      </w:r>
    </w:p>
    <w:p w14:paraId="65135619" w14:textId="77777777" w:rsidR="00C80486" w:rsidRPr="000E6E06" w:rsidRDefault="00C80486" w:rsidP="00C80486">
      <w:pPr>
        <w:pStyle w:val="PlainText"/>
        <w:rPr>
          <w:rFonts w:asciiTheme="minorHAnsi" w:hAnsiTheme="minorHAnsi" w:cs="Courier New"/>
        </w:rPr>
      </w:pPr>
      <w:r w:rsidRPr="000E6E06">
        <w:rPr>
          <w:rFonts w:asciiTheme="minorHAnsi" w:hAnsiTheme="minorHAnsi" w:cs="Courier New"/>
        </w:rPr>
        <w:t>pataphysics</w:t>
      </w:r>
    </w:p>
    <w:p w14:paraId="31DAEDDA" w14:textId="77777777" w:rsidR="00C80486" w:rsidRPr="000E6E06" w:rsidRDefault="00C80486" w:rsidP="00C80486">
      <w:pPr>
        <w:pStyle w:val="PlainText"/>
        <w:rPr>
          <w:rFonts w:asciiTheme="minorHAnsi" w:hAnsiTheme="minorHAnsi" w:cs="Courier New"/>
        </w:rPr>
      </w:pPr>
      <w:r w:rsidRPr="000E6E06">
        <w:rPr>
          <w:rFonts w:asciiTheme="minorHAnsi" w:hAnsiTheme="minorHAnsi" w:cs="Courier New"/>
        </w:rPr>
        <w:t>policy creep</w:t>
      </w:r>
    </w:p>
    <w:p w14:paraId="36E385D5" w14:textId="77777777" w:rsidR="00C80486" w:rsidRPr="000E6E06" w:rsidRDefault="00C80486" w:rsidP="00C80486">
      <w:pPr>
        <w:pStyle w:val="PlainText"/>
        <w:rPr>
          <w:rFonts w:asciiTheme="minorHAnsi" w:hAnsiTheme="minorHAnsi" w:cs="Courier New"/>
        </w:rPr>
      </w:pPr>
      <w:r w:rsidRPr="000E6E06">
        <w:rPr>
          <w:rFonts w:asciiTheme="minorHAnsi" w:hAnsiTheme="minorHAnsi" w:cs="Courier New"/>
        </w:rPr>
        <w:t>tutorial instruction</w:t>
      </w:r>
    </w:p>
    <w:p w14:paraId="51921AB6" w14:textId="77777777" w:rsidR="00C80486" w:rsidRPr="000E6E06" w:rsidRDefault="00C80486" w:rsidP="00C80486">
      <w:pPr>
        <w:pStyle w:val="PlainText"/>
        <w:rPr>
          <w:rFonts w:asciiTheme="minorHAnsi" w:hAnsiTheme="minorHAnsi" w:cs="Courier New"/>
        </w:rPr>
      </w:pPr>
    </w:p>
    <w:p w14:paraId="5BFDEF10" w14:textId="79A2A656" w:rsidR="00906F4E" w:rsidRPr="000E6E06" w:rsidRDefault="00C80486" w:rsidP="00906F4E">
      <w:pPr>
        <w:pStyle w:val="EndnoteText"/>
      </w:pPr>
      <w:r w:rsidRPr="000E6E06">
        <w:rPr>
          <w:rFonts w:cs="Courier New"/>
          <w:sz w:val="21"/>
          <w:szCs w:val="21"/>
        </w:rPr>
        <w:t>Statement of competing interests:</w:t>
      </w:r>
      <w:r w:rsidR="00906F4E" w:rsidRPr="000E6E06">
        <w:rPr>
          <w:rFonts w:cs="Courier New"/>
        </w:rPr>
        <w:t xml:space="preserve">  </w:t>
      </w:r>
      <w:proofErr w:type="gramStart"/>
      <w:r w:rsidR="00906F4E" w:rsidRPr="000E6E06">
        <w:t>E</w:t>
      </w:r>
      <w:r w:rsidR="00906F4E" w:rsidRPr="000E6E06">
        <w:t>ducational</w:t>
      </w:r>
      <w:proofErr w:type="gramEnd"/>
      <w:r w:rsidR="00906F4E" w:rsidRPr="000E6E06">
        <w:t xml:space="preserve"> institutions come in for criticism in this essay, and the author is employed by one.</w:t>
      </w:r>
    </w:p>
    <w:p w14:paraId="6D17AC41" w14:textId="37C91E7E" w:rsidR="00C80486" w:rsidRPr="001A6511" w:rsidRDefault="00C80486" w:rsidP="00C80486">
      <w:pPr>
        <w:pStyle w:val="PlainText"/>
        <w:rPr>
          <w:rFonts w:ascii="Courier New" w:hAnsi="Courier New" w:cs="Courier New"/>
        </w:rPr>
      </w:pPr>
    </w:p>
    <w:p w14:paraId="40382848" w14:textId="77777777" w:rsidR="00C80486" w:rsidRPr="001A6511" w:rsidRDefault="00C80486" w:rsidP="00C80486">
      <w:pPr>
        <w:pStyle w:val="PlainText"/>
        <w:rPr>
          <w:rFonts w:ascii="Courier New" w:hAnsi="Courier New" w:cs="Courier New"/>
        </w:rPr>
      </w:pPr>
    </w:p>
    <w:p w14:paraId="1CD2325B" w14:textId="5287D7B8" w:rsidR="00C80486" w:rsidRDefault="00906F4E" w:rsidP="00C80486">
      <w:pPr>
        <w:pStyle w:val="BodyText"/>
        <w:rPr>
          <w:rFonts w:ascii="Courier New" w:hAnsi="Courier New" w:cs="Courier New"/>
          <w:sz w:val="21"/>
          <w:szCs w:val="21"/>
        </w:rPr>
      </w:pPr>
      <w:r>
        <w:rPr>
          <w:rFonts w:ascii="Courier New" w:hAnsi="Courier New" w:cs="Courier New"/>
          <w:sz w:val="21"/>
          <w:szCs w:val="21"/>
        </w:rPr>
        <w:t xml:space="preserve"> </w:t>
      </w:r>
    </w:p>
    <w:p w14:paraId="29F3539D" w14:textId="77777777" w:rsidR="00C80486" w:rsidRPr="00C80486" w:rsidRDefault="00C80486" w:rsidP="00C80486">
      <w:pPr>
        <w:pStyle w:val="BodyText"/>
      </w:pPr>
    </w:p>
    <w:p w14:paraId="2BA93F34" w14:textId="77777777" w:rsidR="00F853F9" w:rsidRDefault="00F853F9">
      <w:pPr>
        <w:pStyle w:val="FirstParagraph"/>
      </w:pPr>
      <w:r>
        <w:t xml:space="preserve">In our social world, education is institutionalized, and institutions govern themselves by adopting policies; when institutions are governed from without, they are normally governed by larger institutions, such as governments, again through choice of policy. And when that frame is taken for granted, it is also assumed that the problem of education policy is </w:t>
      </w:r>
      <w:r>
        <w:rPr>
          <w:i/>
          <w:iCs/>
        </w:rPr>
        <w:t>which</w:t>
      </w:r>
      <w:r>
        <w:t xml:space="preserve"> policies should control the provision of education.</w:t>
      </w:r>
    </w:p>
    <w:p w14:paraId="16EA71A1" w14:textId="77777777" w:rsidR="00F853F9" w:rsidRDefault="00F853F9">
      <w:pPr>
        <w:pStyle w:val="BodyText"/>
      </w:pPr>
      <w:r>
        <w:lastRenderedPageBreak/>
        <w:t xml:space="preserve">I’m going to make the case that this is to assume far too much: the problem we should be focused on, when we are thinking about education policy, is that there </w:t>
      </w:r>
      <w:r>
        <w:rPr>
          <w:i/>
          <w:iCs/>
        </w:rPr>
        <w:t>are</w:t>
      </w:r>
      <w:r>
        <w:t xml:space="preserve"> policies, and that they proliferate.</w:t>
      </w:r>
    </w:p>
    <w:p w14:paraId="3B15E8C2" w14:textId="77777777" w:rsidR="00F853F9" w:rsidRDefault="00F853F9">
      <w:pPr>
        <w:pStyle w:val="BodyText"/>
      </w:pPr>
      <w:r>
        <w:t>Rather, and by way of foreshadowing the drift of the first lap of the coming argument, here is somewhat of an analogy. Immigration policy has come to the forefront of our political discourse, and publicly minded citizens disagree about which policy it should be; they think that what they are weighing in on is whether those allowed into the country will have these professional qualifications or those; whether they will have criminal backgrounds or health issues; which national and ethnic backgrounds they will come from; whether they will be rescued from persecution in their native land. But any such policy will have to be implemented, and when you think about what that implementation will have to consist in, it becomes obvious that what is really being selected for is a facility for paperwork, and the temperament that equips one to navigate bureaucracies.</w:t>
      </w:r>
      <w:r>
        <w:rPr>
          <w:rStyle w:val="EndnoteReference"/>
        </w:rPr>
        <w:endnoteReference w:id="2"/>
      </w:r>
      <w:r>
        <w:t xml:space="preserve"> Debates over education policy are like </w:t>
      </w:r>
      <w:r>
        <w:rPr>
          <w:i/>
          <w:iCs/>
        </w:rPr>
        <w:t>that</w:t>
      </w:r>
      <w:r>
        <w:t>.</w:t>
      </w:r>
    </w:p>
    <w:p w14:paraId="528F27F4" w14:textId="2F317FA3" w:rsidR="00F853F9" w:rsidRDefault="00F853F9">
      <w:pPr>
        <w:pStyle w:val="BodyText"/>
      </w:pPr>
      <w:r>
        <w:t xml:space="preserve">Here I am going to restrict the discussion to higher education, in part because that’s the domain with which I’m most familiar, but also because our K–12 institutions have a noneducational primary task—roughly, that of being a place to park children while their parents are at work—and that adds complications to the discussion that are best postponed. And having argued that the problem is that institutions cannot help but experience what I’m going to call </w:t>
      </w:r>
      <w:r w:rsidR="008B1F50">
        <w:t>p</w:t>
      </w:r>
      <w:r>
        <w:t>olicy creep, I’ll explain how that undercuts universities’ core missions. I’ll argue that the default approach to remediation—taking on additional staffing to manage those proliferating policies—is ineffective. And I’ll conclude that the solution has to be partial (but only partial) deinstitutionalization.</w:t>
      </w:r>
    </w:p>
    <w:p w14:paraId="58FC8E6F" w14:textId="77777777" w:rsidR="00F853F9" w:rsidRDefault="00F853F9">
      <w:pPr>
        <w:pStyle w:val="BodyText"/>
      </w:pPr>
      <w:r>
        <w:t xml:space="preserve">That step </w:t>
      </w:r>
      <w:r>
        <w:rPr>
          <w:i/>
          <w:iCs/>
        </w:rPr>
        <w:t>may</w:t>
      </w:r>
      <w:r>
        <w:t xml:space="preserve"> be, quite suddenly, both possible and necessary, due to the large changes that modern AI is about to work in how instruction can be delivered, and in what sorts of education will be economically valuable. (Accordingly, the second lap of the discussion will be conducted in somewhat of a different key.) I emphasized that “may,” because it’s early days; on the one hand, the treatment we can give these questions is inevitably highly speculative, but on the other, we cannot afford to wait until the technology has settled out before starting to think about it. I will navigate the dilemma by making my case at a relatively high level of abstraction. Alfred Jarry, a member of the Dada movement, invented the term “pataphysics,” which he announced was going to name the science of exceptions.</w:t>
      </w:r>
      <w:r>
        <w:rPr>
          <w:rStyle w:val="EndnoteReference"/>
        </w:rPr>
        <w:endnoteReference w:id="3"/>
      </w:r>
      <w:r>
        <w:t xml:space="preserve"> That was of course a surrealist joke, because there can’t be a </w:t>
      </w:r>
      <w:r>
        <w:rPr>
          <w:i/>
          <w:iCs/>
        </w:rPr>
        <w:t>science</w:t>
      </w:r>
      <w:r>
        <w:t xml:space="preserve"> of exceptions; nonetheless, in the coming world of modern AI, what we need our students to become adept at is, first and foremost, pataphysics. That aptitude, I will suggest, is best cultivated through AI-assisted tutoring, a pedagogical model which, in turn, can (and I will argue, likely must) be configured into an alternative to institutionalized instruction, and so also to policy creep.</w:t>
      </w:r>
    </w:p>
    <w:p w14:paraId="6BF12D82" w14:textId="77777777" w:rsidR="00F853F9" w:rsidRDefault="00F853F9">
      <w:pPr>
        <w:pStyle w:val="BodyText"/>
      </w:pPr>
      <w:r>
        <w:t>Having sketched that way forward, I will attempt to anticipate its drawbacks and register some of the obstacles to implementing it. That will allow me conclude with observations about the methodological contrasts between, as we’ve come to say it, ethics and applied ethics.</w:t>
      </w:r>
    </w:p>
    <w:p w14:paraId="1E6BD7BA" w14:textId="682C5C6F" w:rsidR="00F853F9" w:rsidRDefault="00F853F9">
      <w:pPr>
        <w:pStyle w:val="Heading1"/>
      </w:pPr>
      <w:bookmarkStart w:id="0" w:name="section"/>
      <w:r>
        <w:lastRenderedPageBreak/>
        <w:t>1.</w:t>
      </w:r>
    </w:p>
    <w:p w14:paraId="2A3FCC05" w14:textId="77777777" w:rsidR="00F853F9" w:rsidRDefault="00F853F9">
      <w:pPr>
        <w:pStyle w:val="FirstParagraph"/>
      </w:pPr>
      <w:r>
        <w:t>I need first to firm up the sense of the concept I’ve started out by invoking, and to do this I’ll adapt a series of treatments by Michael Bratman. A policy is a plan that is open ended, in that it specifies one or more repeatable trigger conditions; when those conditions obtain, it lays down an intended course of action. Policies inherit further features of plans, as Bratman understands them. They are stable, meaning that unless there is an occasion, sometimes specified in turn by a further policy (but sometimes simply a matter of noticing expensive untoward consequences), you do as the plan or policy indicates. They are normally incomplete, that is, they leave room for subsidiary planning, to be filled in as one proceeds through the mandated course of action. And they are required to be internally consistent, and consistent with other plans and policies to which one has committed.</w:t>
      </w:r>
      <w:r>
        <w:rPr>
          <w:rStyle w:val="EndnoteReference"/>
        </w:rPr>
        <w:endnoteReference w:id="4"/>
      </w:r>
    </w:p>
    <w:p w14:paraId="6C82A04C" w14:textId="77777777" w:rsidR="00F853F9" w:rsidRDefault="00F853F9">
      <w:pPr>
        <w:pStyle w:val="BodyText"/>
      </w:pPr>
      <w:r>
        <w:t xml:space="preserve">A policy that is merely conceived, or even loudly announced, has so </w:t>
      </w:r>
      <w:proofErr w:type="gramStart"/>
      <w:r>
        <w:t>far</w:t>
      </w:r>
      <w:proofErr w:type="gramEnd"/>
      <w:r>
        <w:t xml:space="preserve"> no institutional grip: it does not control the subsequent activities of the individuals or units that compose the institution. For an institution actually to adopt a policy, it must normally be implemented as a procedure: a series of steps, such as, in the educational environments we’re going to be considering, student petitions for exemption from a course requirement, meetings of designated officeholders, such as the members of a graduate committee or a disciplinary appeals board, Austinian speech acts announcing prizes, suspensions, acceptances and so on, the creation of records documenting outcomes, and of course the substantive actions that are not merely changes in status: students making their way to this building rather than that one, lectures, in that building, on Mughal military history rather than Mongol culture, new locks installed on office doors, burly men carrying boxes down to the waiting trucks and who knows what-all else.</w:t>
      </w:r>
      <w:r>
        <w:rPr>
          <w:rStyle w:val="EndnoteReference"/>
        </w:rPr>
        <w:endnoteReference w:id="5"/>
      </w:r>
      <w:r>
        <w:t xml:space="preserve"> Without that implementation, a policy is at best an aspiration, and quite possibly no more than a daydream; what we’re registering is that what makes the policy an institutional reality takes time and effort.</w:t>
      </w:r>
    </w:p>
    <w:p w14:paraId="6A4C848F" w14:textId="77777777" w:rsidR="00F853F9" w:rsidRDefault="00F853F9">
      <w:pPr>
        <w:pStyle w:val="BodyText"/>
      </w:pPr>
      <w:r>
        <w:t xml:space="preserve">Now of course there are many reasons for adopting policies, and of course they may be as various as the problems and tasks they are meant to address, from coordinating schedules to quality control of instruction and everything in between. But we should mark a few of the purposes that they serve in our educational (and other!) institutions as we have them, and which we tend naively to overlook. Policies may be a sort of compliance theater, something that a school or university can point to in the event of a lawsuit or an impending public relations emergency, to show that it did indeed respond to a complaint, or that it did not discriminate, or that it is not to blame for failing to prevent the death of a student. Policies may be meant to ensure fairness in the institution’s </w:t>
      </w:r>
      <w:proofErr w:type="spellStart"/>
      <w:r>
        <w:t>decisionmaking</w:t>
      </w:r>
      <w:proofErr w:type="spellEnd"/>
      <w:r>
        <w:t xml:space="preserve">, by taking discretion out of the hands of individual officeholders. (“It wasn’t just someone’s judgment call; we have a </w:t>
      </w:r>
      <w:r>
        <w:rPr>
          <w:i/>
          <w:iCs/>
        </w:rPr>
        <w:t>policy</w:t>
      </w:r>
      <w:r>
        <w:t>.”) Policies allow for transparency, monitoring and control: with a policy in place, an institution can ask whether its policy is being followed, and take steps to rectify the situation if it is not. Policies may function as territorial markers; you will have noticed that whenever a university appoints a new president, or even, often enough, a dean, what ensues is a policymaking exercise—the call, maybe, for a new ‘road map’—that is, a bureaucratic demonstration of authority, one that says who’s now running the show.</w:t>
      </w:r>
      <w:r>
        <w:rPr>
          <w:rStyle w:val="EndnoteReference"/>
        </w:rPr>
        <w:endnoteReference w:id="6"/>
      </w:r>
    </w:p>
    <w:p w14:paraId="14865305" w14:textId="77777777" w:rsidR="00F853F9" w:rsidRDefault="00F853F9">
      <w:pPr>
        <w:pStyle w:val="BodyText"/>
      </w:pPr>
      <w:r>
        <w:t xml:space="preserve">Because I have just made a show of not being unworldly about where a great many policies come from, and because the default way of thinking about such choices is to weigh costs against benefits, please excuse some heavy-handedness in making clear which problem I </w:t>
      </w:r>
      <w:r>
        <w:lastRenderedPageBreak/>
        <w:t>am after. It is not that policies are engendered by the self-serving or perverse motivations of institutional actors (although of course many of them are); and the question is not whether the benefits of this or that policy are worth its costs.</w:t>
      </w:r>
      <w:r>
        <w:rPr>
          <w:rStyle w:val="EndnoteReference"/>
        </w:rPr>
        <w:endnoteReference w:id="7"/>
      </w:r>
      <w:r>
        <w:t xml:space="preserve"> There are always reasons to formulate and institute yet another policy; sometimes they are merely institutionally compelling reasons, but they are often enough good reasons (and good reasons when cost-benefit tradeoffs are kept in mind). Perhaps in the past, when a student wasn’t turning in a strong performance in his graduate program, his instructors, and perhaps the department chair, would meet to decide what was to be done; in especially complex cases, the question might even have come up for discussion in a department meeting. But sometimes there are hard decisions to be made, and so a policy and its attendant procedures are put in place: say, so that the department’s view about when a student will be asked to leave the program will be a settled matter from here on out, but also so that if the student appeals, or even hires a lawyer, the department can point to a documented process, and also so that resentment is deflected away from any particular individual: so that those involved can say that there was a </w:t>
      </w:r>
      <w:r>
        <w:rPr>
          <w:i/>
          <w:iCs/>
        </w:rPr>
        <w:t>policy</w:t>
      </w:r>
      <w:r>
        <w:t xml:space="preserve">. To reiterate, even if an institution is staffed entirely by altruistic, intelligent and pure-hearted idealists (though naturally this is not the world we live in), there will always be reasons—even </w:t>
      </w:r>
      <w:r>
        <w:rPr>
          <w:i/>
          <w:iCs/>
        </w:rPr>
        <w:t>good</w:t>
      </w:r>
      <w:r>
        <w:t xml:space="preserve"> reasons—for one more policy.</w:t>
      </w:r>
    </w:p>
    <w:p w14:paraId="002B9DF8" w14:textId="77777777" w:rsidR="00F853F9" w:rsidRDefault="00F853F9">
      <w:pPr>
        <w:pStyle w:val="BodyText"/>
      </w:pPr>
      <w:r>
        <w:t>One more policy means one more procedure. And this means that, within an educational institution, we can expect to witness the phenomenon of procedure creep—a phenomenon rather like what we are familiar with in the engineering world, as feature creep. Just as there always turns out to be a reason to add one more bit of functionality to a software product, every year, within an institution, there is another committee that needs to meet; every year, another document governing a process that was previously an informally made decision handled on the fly; every year, a new type of application to be written up, submitted and reviewed. Once instituted, the extra layer of ritual will persist, joining the ever-increasing pool of similar rituals.</w:t>
      </w:r>
    </w:p>
    <w:p w14:paraId="2457DA95" w14:textId="04A8C3BD" w:rsidR="00F853F9" w:rsidRDefault="00F853F9">
      <w:pPr>
        <w:pStyle w:val="BodyText"/>
      </w:pPr>
      <w:r>
        <w:t xml:space="preserve">Procedures have to be executed by people. The time that any particular individual has to devote to institutional activities is finite, and this means that policies trade off against the activities that are not just the official </w:t>
      </w:r>
      <w:r>
        <w:rPr>
          <w:i/>
          <w:iCs/>
        </w:rPr>
        <w:t xml:space="preserve">raison </w:t>
      </w:r>
      <w:proofErr w:type="spellStart"/>
      <w:r>
        <w:rPr>
          <w:i/>
          <w:iCs/>
        </w:rPr>
        <w:t>d’etre</w:t>
      </w:r>
      <w:proofErr w:type="spellEnd"/>
      <w:r>
        <w:t xml:space="preserve"> of an educational institution, but its honest justification: actual education and, in the American model of higher education, research. The more time spent executing procedures of one sort or another, the less there is for actually teaching or for investigation and figuring things out; at some early-on point in this zero-sum game, a point we have evidently passed long ago, every additional procedure displaces one more bit of the only reasons for having educational institutions in the first place. And the endpoint of the process, obvious to all and savagely mocked by Benjamin Ginsberg</w:t>
      </w:r>
      <w:r w:rsidR="00233551">
        <w:rPr>
          <w:rStyle w:val="EndnoteReference"/>
        </w:rPr>
        <w:endnoteReference w:id="8"/>
      </w:r>
      <w:r>
        <w:t>, is a university in which there is no teaching or inquiry at all, but only the all-consuming administrative process.</w:t>
      </w:r>
    </w:p>
    <w:p w14:paraId="59695567" w14:textId="528BF660" w:rsidR="00F853F9" w:rsidRDefault="00F853F9">
      <w:pPr>
        <w:pStyle w:val="Heading1"/>
      </w:pPr>
      <w:bookmarkStart w:id="1" w:name="section-1"/>
      <w:bookmarkEnd w:id="0"/>
      <w:r>
        <w:t>2.</w:t>
      </w:r>
    </w:p>
    <w:p w14:paraId="38FE3F63" w14:textId="77777777" w:rsidR="00F853F9" w:rsidRDefault="00F853F9">
      <w:pPr>
        <w:pStyle w:val="FirstParagraph"/>
      </w:pPr>
      <w:r>
        <w:t xml:space="preserve">Now, there might seem to be a way out, and let’s take a moment to think it through. Within educational institutions, there is a fairly clear division between faculty and other staff. Could the ability of faculty actually to engage in the teaching and research for which they were allegedly hired be protected by adding administrative staff to execute the ever-accruing procedural load? The </w:t>
      </w:r>
      <w:proofErr w:type="spellStart"/>
      <w:r>
        <w:t>strategem</w:t>
      </w:r>
      <w:proofErr w:type="spellEnd"/>
      <w:r>
        <w:t xml:space="preserve"> would take two forms: </w:t>
      </w:r>
      <w:proofErr w:type="spellStart"/>
      <w:r>
        <w:t>nonacademics</w:t>
      </w:r>
      <w:proofErr w:type="spellEnd"/>
      <w:r>
        <w:t xml:space="preserve"> can be </w:t>
      </w:r>
      <w:r>
        <w:lastRenderedPageBreak/>
        <w:t>hired, in roles that come with titles such as associate dean, or academics can be repurposed into administrators, which in American universities is the norm for deans, university presidents and so on.</w:t>
      </w:r>
    </w:p>
    <w:p w14:paraId="0CD2932F" w14:textId="77777777" w:rsidR="00F853F9" w:rsidRDefault="00F853F9">
      <w:pPr>
        <w:pStyle w:val="BodyText"/>
      </w:pPr>
      <w:r>
        <w:t>The amelioration, however expensive, proves to be temporary and illusory. The problem I am after is not so much the most obvious one, that of a massive layer of upper administration consisting either of people who were never enculturated into academic sensibilities and norms, or who have long since forgotten them, and who are in the business of managing highly skilled workers—workers who are performing activities that the managers do not understand. Administrative bloat has recently come in for attention as itself a problem—although the very existence of the phenomenon has become a subject of controversy as well—so please don’t be distracted by a familiar dispute.</w:t>
      </w:r>
      <w:r>
        <w:rPr>
          <w:rStyle w:val="EndnoteReference"/>
        </w:rPr>
        <w:endnoteReference w:id="9"/>
      </w:r>
      <w:r>
        <w:t xml:space="preserve"> We are considering additional nonacademic personnel not as a problem but a would-be solution to the problem of policy creep. However, it is apparent that adding staff reproduces the initial problem: once there are administrators tasked with executing procedures, there will soon be additional procedures to regulate the interactions of the faculty with the administrators; faculty time will be drawn upon to support the administrators’ procedures; and it will turn out that taking on bureaucrats to shoulder the constantly increasing procedural load in short order contributes to rather than alleviates the displacement of real academic work by policy creep. Whatever the short-term payoffs, long run and big picture, you can’t successfully offload procedural overhead to administrators.</w:t>
      </w:r>
    </w:p>
    <w:p w14:paraId="056519DD" w14:textId="77777777" w:rsidR="00F853F9" w:rsidRDefault="00F853F9">
      <w:pPr>
        <w:pStyle w:val="BodyText"/>
      </w:pPr>
      <w:r>
        <w:t>That said, although we do see those efforts to shift the burden of executing procedures away from faculty, in any case, in higher education what is very nearly the reverse trend is also at work, and a bit of history will help to explain just what it is.</w:t>
      </w:r>
      <w:r>
        <w:rPr>
          <w:rStyle w:val="EndnoteReference"/>
        </w:rPr>
        <w:endnoteReference w:id="10"/>
      </w:r>
    </w:p>
    <w:p w14:paraId="129DF813" w14:textId="77777777" w:rsidR="00F853F9" w:rsidRDefault="00F853F9">
      <w:pPr>
        <w:pStyle w:val="BodyText"/>
      </w:pPr>
      <w:r>
        <w:t xml:space="preserve">One of the puzzles for historians and economists of domestic life has been the observation that, over the course of the twentieth century, a period during which one after another labor-saving household appliance was introduced, the hours per week spent by full-time American housewives on their duties remained roughly constant. Various explanations have been proposed, but the one that interests us here casts the </w:t>
      </w:r>
      <w:proofErr w:type="gramStart"/>
      <w:r>
        <w:t>middle class</w:t>
      </w:r>
      <w:proofErr w:type="gramEnd"/>
      <w:r>
        <w:t xml:space="preserve"> housewife, at the start of the preceding century, as very much a manager. She did not do the laundry herself, but rather, supervised the household help who did. When the time came to clean the carpets, she would have someone in to do the job. </w:t>
      </w:r>
      <w:proofErr w:type="gramStart"/>
      <w:r>
        <w:t>Often</w:t>
      </w:r>
      <w:proofErr w:type="gramEnd"/>
      <w:r>
        <w:t xml:space="preserve"> she would oversee someone who prepared the meals, or anyway assisted with the prep and cleanup. But once you have a washing machine, </w:t>
      </w:r>
      <w:r>
        <w:rPr>
          <w:i/>
          <w:iCs/>
        </w:rPr>
        <w:t>you</w:t>
      </w:r>
      <w:r>
        <w:t xml:space="preserve"> do the laundry; once you have a vacuum cleaner, </w:t>
      </w:r>
      <w:r>
        <w:rPr>
          <w:i/>
          <w:iCs/>
        </w:rPr>
        <w:t>you</w:t>
      </w:r>
      <w:r>
        <w:t xml:space="preserve"> do the rugs; once you have a blender and microwave and a food processor and a dishwasher, </w:t>
      </w:r>
      <w:r>
        <w:rPr>
          <w:i/>
          <w:iCs/>
        </w:rPr>
        <w:t>you</w:t>
      </w:r>
      <w:r>
        <w:t xml:space="preserve"> prepare the food and clear up after. That is, these technologies facilitated the </w:t>
      </w:r>
      <w:proofErr w:type="spellStart"/>
      <w:r>
        <w:t>proletarization</w:t>
      </w:r>
      <w:proofErr w:type="spellEnd"/>
      <w:r>
        <w:t xml:space="preserve"> of household labor.</w:t>
      </w:r>
      <w:r>
        <w:rPr>
          <w:rStyle w:val="EndnoteReference"/>
        </w:rPr>
        <w:endnoteReference w:id="11"/>
      </w:r>
    </w:p>
    <w:p w14:paraId="51429AA3" w14:textId="079FC4B7" w:rsidR="00F853F9" w:rsidRDefault="00F853F9">
      <w:pPr>
        <w:pStyle w:val="BodyText"/>
      </w:pPr>
      <w:r>
        <w:t xml:space="preserve">Since about the 1980s, the information technology revolution has been having much this effect on the workflow of academic faculty. Before word processors, there was a typing pool; now faculty do their own typing. Before the internet, graduate applications turned up in the mail and were sorted into folders in filing cabinets by secretaries; faculty could just pull them out of the drawer and start to read. Now faculty click their way through a user interface to reach, first the applications, and then one document after another within an application; this process is equivalent, in terms of time and effort, to what those secretaries had done. Before human resources management software, research accounts and the like </w:t>
      </w:r>
      <w:r>
        <w:lastRenderedPageBreak/>
        <w:t xml:space="preserve">were monitored and kept up to date by administrative assistants; now faculty are expected to review and approve monthly reports. University administrations see IT as an opportunity to be modern and electronic, and to trim the payroll by reassigning tasks performed by secretarial staff to tenure-line faculty, and no doubt this latter is a false economy: professors are for the most part paid more than secretaries, and faculty time is a limiting factor within the academic ecosystem. But here, we only want to observe that not only does reallocating the execution of procedures away from academic to administrative staff not solve the problem we have been considering; there is, in parallel, a great deal in the way of reassigning the execution of procedures </w:t>
      </w:r>
      <w:r>
        <w:rPr>
          <w:i/>
          <w:iCs/>
        </w:rPr>
        <w:t>to</w:t>
      </w:r>
      <w:r>
        <w:t xml:space="preserve"> the strictly academic staff.</w:t>
      </w:r>
    </w:p>
    <w:p w14:paraId="03333FBA" w14:textId="1AFF1E9B" w:rsidR="00F853F9" w:rsidRDefault="00F853F9">
      <w:pPr>
        <w:pStyle w:val="Heading1"/>
      </w:pPr>
      <w:bookmarkStart w:id="2" w:name="section-2"/>
      <w:bookmarkEnd w:id="1"/>
      <w:r>
        <w:t>3.</w:t>
      </w:r>
    </w:p>
    <w:p w14:paraId="6020743F" w14:textId="77777777" w:rsidR="00F853F9" w:rsidRDefault="00F853F9">
      <w:pPr>
        <w:pStyle w:val="FirstParagraph"/>
      </w:pPr>
      <w:r>
        <w:t xml:space="preserve">How bad is the problem? We can provide a very rough indirect estimate of the costs by way of an observation. In 1900, if </w:t>
      </w:r>
      <w:proofErr w:type="gramStart"/>
      <w:r>
        <w:t>a</w:t>
      </w:r>
      <w:proofErr w:type="gramEnd"/>
      <w:r>
        <w:t xml:space="preserve"> American pupil had finished elementary school (recall, prior to the introduction of middle school or junior high school as a separate stage), an employer knew that he could read and write, had mastered basic arithmetical concepts and skills, and could be relied on to sit behind a desk. Today, when a student finishes a bachelor degree, an employer knows that he can read and write, has mastered basic arithmetical concepts and skills, and is also able to sit behind a desk. Special cases and vocational training to one side—we do have engineering students, computer science majors who have learned to code, and the like—while certainly there is a great deal of enculturation, fostered by classes in literary analysis and so on, from the hiring point of view, in the United States, graduation from a four-year college provides about the same assurances to someone conducting a job interview that at the turn of the twentieth century were provided by an eighth-grade education.</w:t>
      </w:r>
      <w:r>
        <w:rPr>
          <w:rStyle w:val="EndnoteReference"/>
        </w:rPr>
        <w:endnoteReference w:id="12"/>
      </w:r>
    </w:p>
    <w:p w14:paraId="58187F23" w14:textId="77777777" w:rsidR="00F853F9" w:rsidRDefault="00F853F9">
      <w:pPr>
        <w:pStyle w:val="BodyText"/>
      </w:pPr>
      <w:r>
        <w:t xml:space="preserve">There is more than one explanation in the offing, and I expect that they complement one another rather than compete. What we are looking at is not just a problem within education, and in the larger world, when ossifying institutions cease to function, the normal workaround is assembling a parallel organization, and quietly abandoning the failed structure in place. Thus, for instance, in the military and intelligence sectors, we see startling levels of apparent duplication: we have infantry, and then the marines; the Air Force, but also Navy Air and Marine Air; the CIA, but also the NSA, the DIA, the ONI…: you can’t fix it, so you make another one. However, when it is education paid for by the public, parallel organizations of this sort are not a viable option. (Private schooling is a partial exception.) And </w:t>
      </w:r>
      <w:proofErr w:type="gramStart"/>
      <w:r>
        <w:t>so</w:t>
      </w:r>
      <w:proofErr w:type="gramEnd"/>
      <w:r>
        <w:t xml:space="preserve"> the replacement institutions are tacked on as </w:t>
      </w:r>
      <w:r>
        <w:rPr>
          <w:i/>
          <w:iCs/>
        </w:rPr>
        <w:t>later</w:t>
      </w:r>
      <w:r>
        <w:t xml:space="preserve"> stages of a student’s training. Once elementary school has become fully proceduralized, and the demoralized teaching staff, fully occupied with the mandated procedures, is merely going through the motions, high school appears as an add on: the place where the </w:t>
      </w:r>
      <w:r>
        <w:rPr>
          <w:i/>
          <w:iCs/>
        </w:rPr>
        <w:t>real</w:t>
      </w:r>
      <w:r>
        <w:t xml:space="preserve"> teaching will happen. Once high school is also fully proceduralized, and the intellectually engaged instructors of former times have fled, it is supplemented by college. The turn of undergraduate instruction has come and gone; graduate programs are now being proceduralized in that same way. Soon we can expect that </w:t>
      </w:r>
      <w:r>
        <w:rPr>
          <w:i/>
          <w:iCs/>
        </w:rPr>
        <w:t>real</w:t>
      </w:r>
      <w:r>
        <w:t xml:space="preserve"> instruction and inquiry will come to be deferred to postdoctoral fellowships.</w:t>
      </w:r>
    </w:p>
    <w:p w14:paraId="3ED241EC" w14:textId="77777777" w:rsidR="00F853F9" w:rsidRDefault="00F853F9">
      <w:pPr>
        <w:pStyle w:val="BodyText"/>
      </w:pPr>
      <w:r>
        <w:t xml:space="preserve">(Recall that we are focusing just on the way that procedures compete for the time and energy of staff with activities of real value, and putting to one side subtler effects. But let’s </w:t>
      </w:r>
      <w:r>
        <w:lastRenderedPageBreak/>
        <w:t>remind ourselves of what they are. In domains in which you can’t measure the outputs that matter, fully governing courses of action by policies renders them ineffective. Micromanaged and ineffective staff are generally also demoralized, which compounds their ineffectiveness—or they experience value capture, that is, they internalize the misguided dicta enshrined in the metrics that serve as policy triggers.</w:t>
      </w:r>
      <w:r>
        <w:rPr>
          <w:rStyle w:val="EndnoteReference"/>
        </w:rPr>
        <w:endnoteReference w:id="13"/>
      </w:r>
      <w:r>
        <w:t>)</w:t>
      </w:r>
    </w:p>
    <w:p w14:paraId="2337DD44" w14:textId="77777777" w:rsidR="00F853F9" w:rsidRDefault="00F853F9">
      <w:pPr>
        <w:pStyle w:val="BodyText"/>
      </w:pPr>
      <w:r>
        <w:t xml:space="preserve">Let’s acknowledge another side of the explanation for the treadmill we seem to be on. From its clients’ standpoint, education is largely a positional good: what matters for getting the job you want is not the content of the instruction but that you have more education than other applicants. Positional goods give rise to arms races. Once everyone is going to elementary school, if you want to outcompete your fellows, you have to go to high school. Once everyone is going to high school, if you want to win, you have to go to college. Once everyone is going to college, to win, you have to go to some sort of postgraduate program. Governments end up </w:t>
      </w:r>
      <w:proofErr w:type="spellStart"/>
      <w:r>
        <w:t>acquiesing</w:t>
      </w:r>
      <w:proofErr w:type="spellEnd"/>
      <w:r>
        <w:t xml:space="preserve"> in the demands of their citizens, agreeing that, as a previous American administration’s slogan had it, there is to be ‘no child left behind’—and committing everyone to ever more years of schooling.</w:t>
      </w:r>
    </w:p>
    <w:p w14:paraId="31304E13" w14:textId="77777777" w:rsidR="00F853F9" w:rsidRDefault="00F853F9">
      <w:pPr>
        <w:pStyle w:val="BodyText"/>
      </w:pPr>
      <w:r>
        <w:t xml:space="preserve">That </w:t>
      </w:r>
      <w:proofErr w:type="spellStart"/>
      <w:r>
        <w:t>acquiesence</w:t>
      </w:r>
      <w:proofErr w:type="spellEnd"/>
      <w:r>
        <w:t xml:space="preserve"> is greatly facilitated by a further factor, which I discuss in part to address the incredulity I have found is prompted by the earlier claim I have made about credentialing inflation.</w:t>
      </w:r>
      <w:r>
        <w:rPr>
          <w:rStyle w:val="EndnoteReference"/>
        </w:rPr>
        <w:endnoteReference w:id="14"/>
      </w:r>
      <w:r>
        <w:t xml:space="preserve"> That point had to do with the takeaway for a prospective employer, but you are not mistaken if you understand me to hold that, as far as the substance of education goes, our process is startlingly less efficient than a century back. The commonly accepted narrative is that our youth spend longer in school because they are learning </w:t>
      </w:r>
      <w:r>
        <w:rPr>
          <w:i/>
          <w:iCs/>
        </w:rPr>
        <w:t>more</w:t>
      </w:r>
      <w:r>
        <w:t>, and that the investment in education has risen to meet the escalating demands of technology in the workplace.</w:t>
      </w:r>
      <w:r>
        <w:rPr>
          <w:rStyle w:val="EndnoteReference"/>
        </w:rPr>
        <w:endnoteReference w:id="15"/>
      </w:r>
      <w:r>
        <w:t xml:space="preserve"> How could that be a mistake?</w:t>
      </w:r>
    </w:p>
    <w:p w14:paraId="252FF69C" w14:textId="77777777" w:rsidR="00F853F9" w:rsidRDefault="00F853F9">
      <w:pPr>
        <w:pStyle w:val="BodyText"/>
      </w:pPr>
      <w:r>
        <w:t>But here is a problem that will figure into the second, AI-oriented lap of our argument, and is already present here: education is institutionally invisible.</w:t>
      </w:r>
      <w:r>
        <w:rPr>
          <w:rStyle w:val="EndnoteReference"/>
        </w:rPr>
        <w:endnoteReference w:id="16"/>
      </w:r>
      <w:r>
        <w:t xml:space="preserve"> We cannot measure it directly, and so instead we measure something </w:t>
      </w:r>
      <w:r>
        <w:rPr>
          <w:i/>
          <w:iCs/>
        </w:rPr>
        <w:t>else</w:t>
      </w:r>
      <w:r>
        <w:t xml:space="preserve">. </w:t>
      </w:r>
      <w:proofErr w:type="gramStart"/>
      <w:r>
        <w:t>Thus</w:t>
      </w:r>
      <w:proofErr w:type="gramEnd"/>
      <w:r>
        <w:t xml:space="preserve"> in the discussions that generate that narrative, “educational attainment” is likely to mean years spent in school or degrees awarded, presumably because these are straightforward to count.</w:t>
      </w:r>
      <w:r>
        <w:rPr>
          <w:rStyle w:val="EndnoteReference"/>
        </w:rPr>
        <w:endnoteReference w:id="17"/>
      </w:r>
      <w:r>
        <w:t xml:space="preserve"> The fallback is standardized tests, but these are also proxies for the real measurement targets, and come on the scene with strong incentives to peel them away from those targets. My classrooms, at a flagship state university, are populated by students who are there because they have been certified by standardized testing to be literate, and experience says otherwise.</w:t>
      </w:r>
      <w:r>
        <w:rPr>
          <w:rStyle w:val="EndnoteReference"/>
        </w:rPr>
        <w:endnoteReference w:id="18"/>
      </w:r>
      <w:r>
        <w:t xml:space="preserve"> But we should not be surprised, especially if there is a test preparation industry whose business is disconnecting a proxy from what it is supposed to track. The upshot is that we should be unsure whether all those additional years of schooling are teaching students more, and preparing them to keep pace with technological advances, or whether they are, not quite like Alice and the Red Queen, running not harder but longer to stay in the same place.</w:t>
      </w:r>
      <w:r>
        <w:rPr>
          <w:rStyle w:val="EndnoteReference"/>
        </w:rPr>
        <w:endnoteReference w:id="19"/>
      </w:r>
      <w:r>
        <w:t xml:space="preserve"> We can expect that the educational certification arms race moves faster than it would otherwise because governments cannot see past the proxies to the facts on the ground.</w:t>
      </w:r>
    </w:p>
    <w:p w14:paraId="3C1491FE" w14:textId="77777777" w:rsidR="00F853F9" w:rsidRDefault="00F853F9">
      <w:pPr>
        <w:pStyle w:val="BodyText"/>
      </w:pPr>
      <w:r>
        <w:t xml:space="preserve">For what it is worth, my take on it is that each of these drivers is responsible for some part of a very substantial, indeed unsustainable social burden. We are now at a point where it takes up of sixteen years to acquire the basic competences that were not that long ago managed by eighth grade. The costs in terms of time (an extra eight years out of everybody’s life), in terms of money (all those schools and universities have to be paid for) </w:t>
      </w:r>
      <w:r>
        <w:lastRenderedPageBreak/>
        <w:t>and in terms of the maturity of the citizenry (young adults who somehow have never grown up) are devastating.</w:t>
      </w:r>
      <w:r>
        <w:rPr>
          <w:rStyle w:val="EndnoteReference"/>
        </w:rPr>
        <w:endnoteReference w:id="20"/>
      </w:r>
    </w:p>
    <w:p w14:paraId="7C319682" w14:textId="56ADDEED" w:rsidR="00F853F9" w:rsidRDefault="00F853F9">
      <w:pPr>
        <w:pStyle w:val="Heading1"/>
      </w:pPr>
      <w:bookmarkStart w:id="4" w:name="section-3"/>
      <w:bookmarkEnd w:id="2"/>
      <w:r>
        <w:t>4.</w:t>
      </w:r>
    </w:p>
    <w:p w14:paraId="1568063F" w14:textId="314EF2C3" w:rsidR="00F853F9" w:rsidRDefault="00F853F9">
      <w:pPr>
        <w:pStyle w:val="FirstParagraph"/>
      </w:pPr>
      <w:r>
        <w:t>If institutions are structured by policies, then policies are the price of institutions.</w:t>
      </w:r>
      <w:r>
        <w:rPr>
          <w:rStyle w:val="EndnoteReference"/>
        </w:rPr>
        <w:endnoteReference w:id="21"/>
      </w:r>
      <w:r>
        <w:t xml:space="preserve"> If policies proliferate within educational institutions, procedural overhead will ossify and drive out training and research. Attempts to cut back the overgrowth are evidently futile: the track record shows that institutional attempts to get rid of red tape do not actually reduce it, and certainly don’t eliminate it. </w:t>
      </w:r>
      <w:proofErr w:type="gramStart"/>
      <w:r>
        <w:t>So</w:t>
      </w:r>
      <w:proofErr w:type="gramEnd"/>
      <w:r>
        <w:t xml:space="preserve"> one might well wonder whether there is a noninstitutional alternative to the way education is provided today; after all, it wasn’t always like this. Not so long ago, those who could afford it hired live-in tutors for their children, while many of those who couldn’t arranged apprenticeships, through which one or another workplace would be the venue of vocational instruction. An individual tutor cannot operate bureaucratically any more than a family plumbing company. Why is it that we nowadays see an educational landscape populated almost solely by schools?</w:t>
      </w:r>
    </w:p>
    <w:p w14:paraId="52C44CAB" w14:textId="77777777" w:rsidR="00F853F9" w:rsidRDefault="00F853F9">
      <w:pPr>
        <w:pStyle w:val="BodyText"/>
      </w:pPr>
      <w:r>
        <w:t xml:space="preserve">You might suppose that the reason must be the shift to mass production; once education is something that the State insists must be provided to everybody, it is quickly found that informal expedients such as tutors don’t scale up. Probably there is a good deal of truth to this, but there are many activities that proceed </w:t>
      </w:r>
      <w:proofErr w:type="spellStart"/>
      <w:r>
        <w:rPr>
          <w:i/>
          <w:iCs/>
        </w:rPr>
        <w:t>en</w:t>
      </w:r>
      <w:proofErr w:type="spellEnd"/>
      <w:r>
        <w:rPr>
          <w:i/>
          <w:iCs/>
        </w:rPr>
        <w:t xml:space="preserve"> masse</w:t>
      </w:r>
      <w:r>
        <w:t>, yet without this sort of institutional structure: everyone has to eat, but until rather recently, most food preparation was done either in homes or in small, independently operated and informally managed restaurants. (Think of the classic American diner.)</w:t>
      </w:r>
    </w:p>
    <w:p w14:paraId="4FBE1549" w14:textId="77777777" w:rsidR="00F853F9" w:rsidRDefault="00F853F9">
      <w:pPr>
        <w:pStyle w:val="BodyText"/>
      </w:pPr>
      <w:r>
        <w:t>I am going to focus on an underlying explanation that has two branches: bounded rationality and bounded volition. The former is the more familiar notion, but it is still not familiar enough, and so let me take a moment to reintroduce it.</w:t>
      </w:r>
    </w:p>
    <w:p w14:paraId="4A437134" w14:textId="77777777" w:rsidR="00F853F9" w:rsidRDefault="00F853F9">
      <w:pPr>
        <w:pStyle w:val="BodyText"/>
      </w:pPr>
      <w:r>
        <w:t>Human beings have limited cognitive powers: there is only so much you can take in at one time, only so much you can remember, and only so quickly you can think things through. It’s often observed that these severe computational restrictions express themselves in the need to rely on heuristics—procedures that cut corners, typically giving you a close-enough result enough of the time, at the price of full accuracy across the board, but which finish quickly, without demanding unavailable resources.</w:t>
      </w:r>
      <w:r>
        <w:rPr>
          <w:rStyle w:val="EndnoteReference"/>
        </w:rPr>
        <w:endnoteReference w:id="22"/>
      </w:r>
      <w:r>
        <w:t xml:space="preserve"> It goes without saying that instruction is built around the cognitive limitations of pupils or students: you don’t run a large, complex body of information by them and expect them just to get it, first time through.</w:t>
      </w:r>
    </w:p>
    <w:p w14:paraId="185AB002" w14:textId="77777777" w:rsidR="00F853F9" w:rsidRDefault="00F853F9">
      <w:pPr>
        <w:pStyle w:val="BodyText"/>
      </w:pPr>
      <w:r>
        <w:t xml:space="preserve">It’s less often observed that our bounded rationality raises issues that we address via institutional prosthetics. Let’s take quality control as an example. Before a course of instruction is completed, how is the pupil supposed to know what he needs to learn, and how can he </w:t>
      </w:r>
      <w:proofErr w:type="gramStart"/>
      <w:r>
        <w:t>tell</w:t>
      </w:r>
      <w:proofErr w:type="gramEnd"/>
      <w:r>
        <w:t xml:space="preserve"> that he is learning it properly? How can downstream clients—prospective employers or further educational providers—ascertain that the right instruction was successfully conveyed? If all the actors in the system were smart enough to instantaneously comprehend all of the content themselves, they could vet the product—but then, they wouldn’t </w:t>
      </w:r>
      <w:r>
        <w:rPr>
          <w:i/>
          <w:iCs/>
        </w:rPr>
        <w:t>need</w:t>
      </w:r>
      <w:r>
        <w:t xml:space="preserve"> the educational product. The natural fallback is one or another social device.</w:t>
      </w:r>
    </w:p>
    <w:p w14:paraId="6A1F0794" w14:textId="77777777" w:rsidR="00F853F9" w:rsidRDefault="00F853F9">
      <w:pPr>
        <w:pStyle w:val="BodyText"/>
      </w:pPr>
      <w:r>
        <w:lastRenderedPageBreak/>
        <w:t xml:space="preserve">Certifying the product, both before and after, is a central and typical example of the way boundedly rational agents avail themselves of institutional prostheses. The default manner of managing the problem is institutions that position themselves to be visible in the social landscape as providers of education, and which warrant that what they provide is appropriate and of good quality, both to those being educated, and to others who need to know that they </w:t>
      </w:r>
      <w:r>
        <w:rPr>
          <w:i/>
          <w:iCs/>
        </w:rPr>
        <w:t>were</w:t>
      </w:r>
      <w:r>
        <w:t xml:space="preserve"> properly educated.</w:t>
      </w:r>
    </w:p>
    <w:p w14:paraId="4372A437" w14:textId="7474F265" w:rsidR="00F853F9" w:rsidRDefault="00F853F9">
      <w:pPr>
        <w:pStyle w:val="Heading1"/>
      </w:pPr>
      <w:bookmarkStart w:id="5" w:name="section-4"/>
      <w:bookmarkEnd w:id="4"/>
      <w:r>
        <w:t>5.</w:t>
      </w:r>
    </w:p>
    <w:p w14:paraId="20129797" w14:textId="77777777" w:rsidR="00F853F9" w:rsidRDefault="00F853F9">
      <w:pPr>
        <w:pStyle w:val="FirstParagraph"/>
      </w:pPr>
      <w:r>
        <w:t xml:space="preserve">Turning now to bounded volition, willpower is perhaps an even more limited resource than cognition. Think for a moment about the economic case for a college education—a generic college education, so, one that leaves aside exposure to cutting-edge researchers, networking with fraternity brothers and sorority sisters, and so on. Currently, in the United States, a decent college education is an expense on a par with buying a house. But the courses have textbooks, generally derived from and rehearsing the lectures of some roughly equivalent course. Why don’t 18–to–22-year-olds stay home, buy the textbooks, work through them, and when they run into something they don’t understand, hire tutors? Couldn’t they take exams to prove they’ve mastered the material? It would be </w:t>
      </w:r>
      <w:r>
        <w:rPr>
          <w:i/>
          <w:iCs/>
        </w:rPr>
        <w:t>much</w:t>
      </w:r>
      <w:r>
        <w:t xml:space="preserve"> less expensive.</w:t>
      </w:r>
    </w:p>
    <w:p w14:paraId="044E4BE2" w14:textId="244AAF62" w:rsidR="00F853F9" w:rsidRDefault="00F853F9">
      <w:pPr>
        <w:pStyle w:val="BodyText"/>
      </w:pPr>
      <w:r>
        <w:t xml:space="preserve">The obvious reason is that almost no one would actually do it. Colleges are in the </w:t>
      </w:r>
      <w:proofErr w:type="gramStart"/>
      <w:r>
        <w:t>first place</w:t>
      </w:r>
      <w:proofErr w:type="gramEnd"/>
      <w:r>
        <w:t xml:space="preserve"> commitment devices: like personal trainers, they stand there watching, to make sure you do something that you know you ought to do anyway, but won’t. And given that that’s their primary function, they’re not priced inappropriately; if you multiply out the per-hour cost of a personal trainer these days by an estimate of the number of hours you’re going to spend on instruction-related activity in a four-year college, the total bill isn’t all that far off. If there are grounds for complaint on the part of the consumers, it’s first and foremost that colleges </w:t>
      </w:r>
      <w:r w:rsidR="00906F4E">
        <w:t xml:space="preserve">in the United States </w:t>
      </w:r>
      <w:r>
        <w:t xml:space="preserve">have to a great extent </w:t>
      </w:r>
      <w:r>
        <w:rPr>
          <w:i/>
          <w:iCs/>
        </w:rPr>
        <w:t>stopped</w:t>
      </w:r>
      <w:r>
        <w:t xml:space="preserve"> doing that. Instead of forcing students to learn, they’ve turned their course catalogs into internal markets, thus reproducing the occasion for those weak-willed choices. Faced with a decision between classes that look like boot camp and classes that look like summer camp, students again and again will go for the easier option, and before long, course content is in a race to the bottom.</w:t>
      </w:r>
    </w:p>
    <w:p w14:paraId="4AC1D047" w14:textId="77777777" w:rsidR="00F853F9" w:rsidRDefault="00F853F9">
      <w:pPr>
        <w:pStyle w:val="BodyText"/>
      </w:pPr>
      <w:r>
        <w:t>As with the problems posed by bounded rationality, the natural solution to the problems that bounded volition poses to education is an institution, one that will more or less look like a school or university—although to be sure one that offers better scaffolding for learning than is the norm today.</w:t>
      </w:r>
    </w:p>
    <w:p w14:paraId="08600FF5" w14:textId="46E64423" w:rsidR="00F853F9" w:rsidRDefault="00F853F9">
      <w:pPr>
        <w:pStyle w:val="Heading1"/>
      </w:pPr>
      <w:bookmarkStart w:id="6" w:name="section-5"/>
      <w:bookmarkEnd w:id="5"/>
      <w:r>
        <w:t>6.</w:t>
      </w:r>
    </w:p>
    <w:p w14:paraId="6850ED83" w14:textId="77777777" w:rsidR="00F853F9" w:rsidRDefault="00F853F9">
      <w:pPr>
        <w:pStyle w:val="FirstParagraph"/>
      </w:pPr>
      <w:r>
        <w:t xml:space="preserve">On the one hand, boundedly rational agents—the sort of creatures who are to be educated in the first place—need cognitive scaffolding for a multitude of reasons; providing certification for the product was only an example. On the other hand, once education is delivered by institutions, policy creep gradually paralyzes the teachers who are actually delivering the instruction, diverting their efforts towards the ever further procedures that the institution generates. On the one hand, volitionally bounded agents need prostheses, to </w:t>
      </w:r>
      <w:r>
        <w:lastRenderedPageBreak/>
        <w:t xml:space="preserve">prop up their </w:t>
      </w:r>
      <w:proofErr w:type="gramStart"/>
      <w:r>
        <w:t>decision making</w:t>
      </w:r>
      <w:proofErr w:type="gramEnd"/>
      <w:r>
        <w:t xml:space="preserve"> processes. On the other hand, once policies saturate an institutional prosthesis, actors have no alternative but to surrender their judgment, and when they do, they for the most part slide into merely going through the motions. But no matter the content of policies—no matter what they cover, no matter how </w:t>
      </w:r>
      <w:r>
        <w:rPr>
          <w:i/>
          <w:iCs/>
        </w:rPr>
        <w:t>much</w:t>
      </w:r>
      <w:r>
        <w:t xml:space="preserve"> coverage they provide, and regardless of whether their dicta are </w:t>
      </w:r>
      <w:r>
        <w:rPr>
          <w:i/>
          <w:iCs/>
        </w:rPr>
        <w:t>correct</w:t>
      </w:r>
      <w:r>
        <w:t>—when agents are just going through the motions, things are not actually going to work.</w:t>
      </w:r>
    </w:p>
    <w:p w14:paraId="03B4ADAF" w14:textId="77777777" w:rsidR="00F853F9" w:rsidRDefault="00F853F9">
      <w:pPr>
        <w:pStyle w:val="BodyText"/>
      </w:pPr>
      <w:r>
        <w:t>To unwedge the gridlock, I want to entertain a highly speculative proposal, one that we are not yet in a position to assess, but which is worth exploring. That we are able to consider it at all is due to recent advances in artificial intelligence. It will not solve all of the interconnected problems we have touched on, and may even amplify some of them. But because it speaks to our central dilemma, we ought to think it through.</w:t>
      </w:r>
    </w:p>
    <w:p w14:paraId="4577C60D" w14:textId="77777777" w:rsidR="00F853F9" w:rsidRDefault="00F853F9">
      <w:pPr>
        <w:pStyle w:val="BodyText"/>
      </w:pPr>
      <w:r>
        <w:t>We are abruptly having to make sense of the consequences for our social practice and organizational arrangements of modern AI, by which I mean machine learning and generative AI, as opposed to the older rule-based expert systems approach. In the coming economy, training and a skill set are valuable only if they equip one to do something that AI cannot do.</w:t>
      </w:r>
      <w:r>
        <w:rPr>
          <w:rStyle w:val="EndnoteReference"/>
        </w:rPr>
        <w:endnoteReference w:id="23"/>
      </w:r>
      <w:r>
        <w:t xml:space="preserve"> Now, what modern AI does, characterized at a suitably high level of abstraction, is identify patterns in (typically large) bodies of data and extend them. The bread and butter of traditional education has been—keeping to that same level of abstraction—teaching </w:t>
      </w:r>
      <w:proofErr w:type="gramStart"/>
      <w:r>
        <w:t>students</w:t>
      </w:r>
      <w:proofErr w:type="gramEnd"/>
      <w:r>
        <w:t xml:space="preserve"> patterns, and then verifying that they are able to extend them reliably. It follows that the mainstay of college and university instruction is rapidly on the way to being economically irrelevant.</w:t>
      </w:r>
      <w:r>
        <w:rPr>
          <w:rStyle w:val="EndnoteReference"/>
        </w:rPr>
        <w:endnoteReference w:id="24"/>
      </w:r>
    </w:p>
    <w:p w14:paraId="1EF5B266" w14:textId="3A259002" w:rsidR="00F853F9" w:rsidRDefault="00F853F9">
      <w:pPr>
        <w:pStyle w:val="BodyText"/>
      </w:pPr>
      <w:r>
        <w:t>Conversely, what is about to become increasingly valuable is what at the outset, borrowing Jarry’s absurdist label, I called pataphysics: the ability to tell when a pattern should not be extended. Sometimes that is a matter of calling out a particular case as an exception; sometimes it is noticing where the pattern has to run out. Sometime</w:t>
      </w:r>
      <w:r w:rsidR="00D92A20">
        <w:t>s</w:t>
      </w:r>
      <w:r>
        <w:t xml:space="preserve"> what one needs to notice is that one is working with the wrong pattern, and that it’s time to look around for another one. Pataphysics is the heart of the ability to supervise the process of identifying patterns and playing them out—which, again, is the core capacity of modern AI. AI is not very good at vetting content, at thinking out of the box, and at identifying exceptions to a rule; this family of limitations seems intrinsic to the technology, as we now understand it.</w:t>
      </w:r>
    </w:p>
    <w:p w14:paraId="52C9A614" w14:textId="6286B882" w:rsidR="00F853F9" w:rsidRDefault="00F853F9">
      <w:pPr>
        <w:pStyle w:val="Heading1"/>
      </w:pPr>
      <w:bookmarkStart w:id="7" w:name="section-6"/>
      <w:bookmarkEnd w:id="6"/>
      <w:r>
        <w:t>7.</w:t>
      </w:r>
    </w:p>
    <w:p w14:paraId="1CF541DB" w14:textId="77777777" w:rsidR="00F853F9" w:rsidRDefault="00F853F9">
      <w:pPr>
        <w:pStyle w:val="FirstParagraph"/>
      </w:pPr>
      <w:r>
        <w:t xml:space="preserve">Training in pataphysics differs greatly from much traditional classroom instruction. Consider a plausible exercise, one in which I drill my own students, that of brainstorming objections to an argument taken from the philosophical literature; the students are rewarded for coming up with problems that to the best of my knowledge no one has thought of before. Training requires feedback. When the objections to an argument are reinventing the usual suspects, feedback and assessment can plausibly be automated. But when what you are after is a successful departure from what can extracted from the available training set, a human supervisor, on the spot and allocating his full attention to the student’s responses, is </w:t>
      </w:r>
      <w:proofErr w:type="spellStart"/>
      <w:r>
        <w:t>indispensible</w:t>
      </w:r>
      <w:proofErr w:type="spellEnd"/>
      <w:r>
        <w:t xml:space="preserve">. In my own view, policy-saturated environments are not a good frame for education generally, because education is improvisational; whether or not that is allowed (and I do realize that it is a minority opinion), education in pataphysics </w:t>
      </w:r>
      <w:r>
        <w:lastRenderedPageBreak/>
        <w:t xml:space="preserve">is surely improvisational, and that has consequences for how successfully it can be conducted within an institution. Educational institutions generate ever further policies, and they will find themselves attempting to routinize and standardize grading. It’s as though they can’t help themselves; witness the demand for “rubrics” and for documented “expected learning outcomes.” If what makes an education valuable, from here on out, is strengthening the aptitude for pataphysics, it ought if at all </w:t>
      </w:r>
      <w:proofErr w:type="gramStart"/>
      <w:r>
        <w:t>possible</w:t>
      </w:r>
      <w:proofErr w:type="gramEnd"/>
      <w:r>
        <w:t xml:space="preserve"> to be managed </w:t>
      </w:r>
      <w:proofErr w:type="spellStart"/>
      <w:r>
        <w:t>extrainstitutionally</w:t>
      </w:r>
      <w:proofErr w:type="spellEnd"/>
      <w:r>
        <w:t>.</w:t>
      </w:r>
    </w:p>
    <w:p w14:paraId="07EC3A51" w14:textId="0E4442BF" w:rsidR="00F853F9" w:rsidRDefault="00F853F9">
      <w:pPr>
        <w:pStyle w:val="BodyText"/>
      </w:pPr>
      <w:r>
        <w:t>This is not the occasion to unpack and defend that very condensed argument, so instead let’s quickly recognize some of the worries you might be having about it. Can’t AI instruction determine when such an objection to an argument isn’t a projection of a pattern that is familiar to it? Aren’t human beings just neural nets too, and so, when we tell them to do what AI can’t, aren’t we asking them to do the impossible? If a large language model can see larger and more complex patterns than are available to a trainee, isn’t it in a position to supervise and guide the trainee’s out-of-the-box thinking? Here I am going to put these issues aside; I hope to discuss them elsewhere. If we allow that training in pataphysics can’t be automated, the profile of capacities suggests a doubly hybrid approach to instruction.</w:t>
      </w:r>
    </w:p>
    <w:p w14:paraId="0C85DB0B" w14:textId="77777777" w:rsidR="00F853F9" w:rsidRDefault="00F853F9">
      <w:pPr>
        <w:pStyle w:val="BodyText"/>
      </w:pPr>
      <w:r>
        <w:t xml:space="preserve">On the one hand, the largest obstacle to in-person tutoring in the modern world has been the growth of the collective knowledge base; once you have to hire a chemistry teacher, an English teacher, a philosophy teacher and so on, to coordinate their activities, and to scale the student-teacher ratio to make the economics work out (i.e., to have classes with many students), it’s natural to package them, organizationally, as a school. And once you have a school, it will be managed, we argued, to an </w:t>
      </w:r>
      <w:proofErr w:type="gramStart"/>
      <w:r>
        <w:t>ever greater</w:t>
      </w:r>
      <w:proofErr w:type="gramEnd"/>
      <w:r>
        <w:t xml:space="preserve"> degree, by policies. But modern AI can provide all of that coverage at once: not only can it rehearse material, it can drill pupils, administer quizzes, and otherwise assess proficiency, up to a point we’ve identified. With qualms and </w:t>
      </w:r>
      <w:proofErr w:type="gramStart"/>
      <w:r>
        <w:t>qualifications</w:t>
      </w:r>
      <w:proofErr w:type="gramEnd"/>
      <w:r>
        <w:t xml:space="preserve"> I’ll turn to shortly, the content side of instruction can rest on AI applications.</w:t>
      </w:r>
    </w:p>
    <w:p w14:paraId="0630EF85" w14:textId="77777777" w:rsidR="00F853F9" w:rsidRDefault="00F853F9">
      <w:pPr>
        <w:pStyle w:val="BodyText"/>
      </w:pPr>
      <w:r>
        <w:t xml:space="preserve">On the other hand, AI instruction needs to be complemented by focused, intelligent, individualized oversight. That primary function of colleges, that of being a commitment device, is best handled by a personal trainer—not only when it’s exercising your body but when it’s exercising your mind. But over and above that role, and more importantly, only a human instructor is in a position to identify a novel and promising insight: something that is </w:t>
      </w:r>
      <w:r>
        <w:rPr>
          <w:i/>
          <w:iCs/>
        </w:rPr>
        <w:t>not</w:t>
      </w:r>
      <w:r>
        <w:t xml:space="preserve"> an extension of a pattern. Only a human supervisor is able to tell when the way the pattern is being extended has lost its grip on reality, and even become simply silly; one of the resources this sort of instruction needs to be developing may well be the right sense of humor.</w:t>
      </w:r>
      <w:r>
        <w:rPr>
          <w:rStyle w:val="EndnoteReference"/>
        </w:rPr>
        <w:endnoteReference w:id="25"/>
      </w:r>
    </w:p>
    <w:p w14:paraId="1E616F7A" w14:textId="77777777" w:rsidR="00F853F9" w:rsidRDefault="00F853F9">
      <w:pPr>
        <w:pStyle w:val="BodyText"/>
      </w:pPr>
      <w:r>
        <w:t xml:space="preserve">In a world where information comes almost for free, the </w:t>
      </w:r>
      <w:proofErr w:type="spellStart"/>
      <w:r>
        <w:t>indispensible</w:t>
      </w:r>
      <w:proofErr w:type="spellEnd"/>
      <w:r>
        <w:t xml:space="preserve"> aspect of an education that isn’t simply a waste is learning to think outside the box, that is, to arrive at ideas and draw conclusions that </w:t>
      </w:r>
      <w:r>
        <w:rPr>
          <w:i/>
          <w:iCs/>
        </w:rPr>
        <w:t>aren’t</w:t>
      </w:r>
      <w:r>
        <w:t xml:space="preserve"> extensions of patterns in one’s data. A human instructor has to be there to override an AI’s corrections, and to discriminate between thoughts that are after all worth developing further, and those that are perhaps original but duds nonetheless.</w:t>
      </w:r>
    </w:p>
    <w:p w14:paraId="1AFE4A9A" w14:textId="77777777" w:rsidR="00F853F9" w:rsidRDefault="00F853F9">
      <w:pPr>
        <w:pStyle w:val="BodyText"/>
      </w:pPr>
      <w:proofErr w:type="gramStart"/>
      <w:r>
        <w:t>So</w:t>
      </w:r>
      <w:proofErr w:type="gramEnd"/>
      <w:r>
        <w:t xml:space="preserve"> we are considering instruction that is hybrid in a first respect: content provided by AI, but integrated with human tutoring, providing the oversight, instruction, and skills training that AI as we have it cannot manage. And let’s notice how the demands made on instructors </w:t>
      </w:r>
      <w:r>
        <w:lastRenderedPageBreak/>
        <w:t>in the model we are contemplating differ from those made on instructors today. Think about the amount of preparation required to teach a lecture class: mastering the material well enough to explain it clearly to people who don’t understand it, figuring out how to entertain them enough to keep them paying attention, scripting the flow of the lecture and all the rest of it. For most of us, even that level of effort only has the desired effect when the material is either introductory, or confined to the narrow subfield of one’s specialization. Now contrast that with what it takes to turn up in your department’s visiting speaker series, and come up with probing questions during the Q&amp;A; likely you won’t have done any preparation at all, and you can intelligently engage the speaker and fellow audience members over a much broader range of content. (If you’re a philosopher, very likely you’ll be comfortable participating in the discussion at any philosophy talk, even if you wouldn’t be up for it going to talks in other departments.) The skills and competences involved in the tutoring role, in the hybrid human-AI model of teaching we’re considering, are much more like those needed to figure out problems in the talk by the visiting speaker, and a lot less like presenting material in a lecture.</w:t>
      </w:r>
    </w:p>
    <w:p w14:paraId="2880C106" w14:textId="77777777" w:rsidR="00F853F9" w:rsidRDefault="00F853F9">
      <w:pPr>
        <w:pStyle w:val="BodyText"/>
      </w:pPr>
      <w:r>
        <w:t>With largish exceptions I’ll touch on shortly, this sort of human-AI instruction looks like it can be delivered on the older very-small-enterprise model: we can replace schools with individual tutors, and conveniently enough, since we expect AI to produce widespread unemployment among the educated sectors of the populace, we can also expect there to be a reservoir of candidates for such jobs in the medium term.</w:t>
      </w:r>
    </w:p>
    <w:p w14:paraId="6E79DD2B" w14:textId="6E819FCA" w:rsidR="00F853F9" w:rsidRDefault="00F853F9">
      <w:pPr>
        <w:pStyle w:val="BodyText"/>
      </w:pPr>
      <w:r>
        <w:t xml:space="preserve">This sort of instruction will evidently be hybrid in a second respect. The point of the shift we are considering, to education by very </w:t>
      </w:r>
      <w:proofErr w:type="gramStart"/>
      <w:r>
        <w:t>small scale</w:t>
      </w:r>
      <w:proofErr w:type="gramEnd"/>
      <w:r>
        <w:t xml:space="preserve"> AI-supported tutoring operations, was deinstitutionalization; the point of deinstitutionalization was cutting off procedure creep at the source. But now, recall our gesture at the food service industry. A great deal of it still consists of family-run restaurants and the like; however, a mom-and-pop diner needs to have the health department in the background, conducting inspections and assuring sanitation standards are met, the FDA assuring the safety of the food supply, and much else along the same lines. Hybrid human-AI tutors will need to be framed by institutional structure that </w:t>
      </w:r>
      <w:proofErr w:type="gramStart"/>
      <w:r>
        <w:t>vets</w:t>
      </w:r>
      <w:proofErr w:type="gramEnd"/>
      <w:r>
        <w:t xml:space="preserve"> instructors, and perhaps more importantly, that vets the AI applications they partner with for reliability. In particular and especially, AI applications need to be vetted both for biases inadvertently introduced by their training data, and for those which we can expect commercial, government and malicious actors to attempt to introduce.</w:t>
      </w:r>
      <w:r w:rsidR="00F8135D">
        <w:t xml:space="preserve">  </w:t>
      </w:r>
      <w:r w:rsidR="00F8135D">
        <w:t xml:space="preserve"> The incentives to do so, political and otherwise, are enormous.</w:t>
      </w:r>
    </w:p>
    <w:p w14:paraId="54269A3B" w14:textId="1143267B" w:rsidR="00F853F9" w:rsidRDefault="00F853F9">
      <w:pPr>
        <w:pStyle w:val="BodyText"/>
      </w:pPr>
      <w:r>
        <w:t xml:space="preserve">Surely that vetting will have to be provided by an institutional framework; </w:t>
      </w:r>
      <w:proofErr w:type="gramStart"/>
      <w:r>
        <w:t>so</w:t>
      </w:r>
      <w:proofErr w:type="gramEnd"/>
      <w:r>
        <w:t xml:space="preserve"> the arrangement we’re sketching folds together deinstitutionalization, that is</w:t>
      </w:r>
      <w:r w:rsidR="00906F4E">
        <w:t>,</w:t>
      </w:r>
      <w:r>
        <w:t xml:space="preserve"> very small—maybe even one-person—educational enterprises, with regulatory supervision: that is, as I’ve suggested, it will be a hybrid approach, along a second dimension also</w:t>
      </w:r>
      <w:r w:rsidR="00F8135D">
        <w:t>.</w:t>
      </w:r>
    </w:p>
    <w:p w14:paraId="67F79A94" w14:textId="71C2AB0D" w:rsidR="00F853F9" w:rsidRDefault="00F853F9">
      <w:pPr>
        <w:pStyle w:val="Heading1"/>
      </w:pPr>
      <w:bookmarkStart w:id="8" w:name="section-7"/>
      <w:bookmarkEnd w:id="7"/>
      <w:r>
        <w:t>8.</w:t>
      </w:r>
    </w:p>
    <w:p w14:paraId="20F2151B" w14:textId="77777777" w:rsidR="00F853F9" w:rsidRDefault="00F853F9">
      <w:pPr>
        <w:pStyle w:val="FirstParagraph"/>
      </w:pPr>
      <w:r>
        <w:t>It’s time to stack up qualms, qualifications, and second thoughts.</w:t>
      </w:r>
    </w:p>
    <w:p w14:paraId="02207186" w14:textId="77777777" w:rsidR="00F853F9" w:rsidRDefault="00F853F9">
      <w:pPr>
        <w:pStyle w:val="BodyText"/>
      </w:pPr>
      <w:r>
        <w:t xml:space="preserve">Let’s get this one out of the way first. A moment </w:t>
      </w:r>
      <w:proofErr w:type="gramStart"/>
      <w:r>
        <w:t>ago</w:t>
      </w:r>
      <w:proofErr w:type="gramEnd"/>
      <w:r>
        <w:t xml:space="preserve"> I observed that the AI applications supporting tutorial instruction (or for that matter, any other form of instruction) need to be </w:t>
      </w:r>
      <w:r>
        <w:lastRenderedPageBreak/>
        <w:t>vetted, presumably by a regulatory body, for content quality and hidden agendas. But it’s not at this point clear that we are going to be able to do that. Right now, we don’t know how to interpret the inner workings of connectionist networks. It’s not that an AI agent is—as it’s too often described—a black box; we can inspect the values on its nodes changing as the network processes data, we just don’t have good ways of saying why, or what it means. And it is proving all too easy to poison training sets.</w:t>
      </w:r>
      <w:r>
        <w:rPr>
          <w:rStyle w:val="EndnoteReference"/>
        </w:rPr>
        <w:endnoteReference w:id="26"/>
      </w:r>
    </w:p>
    <w:p w14:paraId="31AFC473" w14:textId="77777777" w:rsidR="00F853F9" w:rsidRDefault="00F853F9">
      <w:pPr>
        <w:pStyle w:val="BodyText"/>
      </w:pPr>
      <w:r>
        <w:t>Next, and closer to the heart of the matter, the problem was that institutions succumb to policy creep. But that will hold of regulatory institutions also. Won’t the ever-increasing burden of procedure merely be imposed from above, in which case, how much progress have we made? And the worry is not only that regulators will micromanage tutorial instructors directly. Aren’t we imagining a state agency, or something on a par with one, supervising the medium for instructional content, that is, the AI component of our hybrid? Our real-life model for teaching materials being selected and approved from above is textbooks used in public education. These seem inevitably to end up condescending, watered down, and pedagogically worthless. If AI-delivered content can after all be vetted, once it is filtered through the same sorts of committees, how are we to expect it to come out any better?</w:t>
      </w:r>
    </w:p>
    <w:p w14:paraId="3F102E0C" w14:textId="77777777" w:rsidR="00F853F9" w:rsidRDefault="00F853F9">
      <w:pPr>
        <w:pStyle w:val="BodyText"/>
      </w:pPr>
      <w:r>
        <w:t xml:space="preserve">Third, the vetting function involves certifying the quality of instruction; as we noticed earlier, prospective students need to know whether the education they might sign up for is worth their time, money and effort, and downstream clients—later educators, and especially, employers—need to know whether students’ performance is up to scratch; they cannot tell on their own. That was why institutional prostheses were such a natural solution, but we’ve also noticed that this would-be solution has been not doing its job well. How can the regulatory framework we’re imagining perform the task we’re </w:t>
      </w:r>
      <w:proofErr w:type="spellStart"/>
      <w:r>
        <w:t>alloting</w:t>
      </w:r>
      <w:proofErr w:type="spellEnd"/>
      <w:r>
        <w:t xml:space="preserve"> to it, that of certifying that the product is being delivered, and that it’s up to par?</w:t>
      </w:r>
      <w:r>
        <w:rPr>
          <w:rStyle w:val="EndnoteReference"/>
        </w:rPr>
        <w:endnoteReference w:id="27"/>
      </w:r>
    </w:p>
    <w:p w14:paraId="6AC34AAA" w14:textId="77777777" w:rsidR="00F853F9" w:rsidRDefault="00F853F9">
      <w:pPr>
        <w:pStyle w:val="BodyText"/>
      </w:pPr>
      <w:r>
        <w:t xml:space="preserve">Fourth, the prospective shift to very </w:t>
      </w:r>
      <w:proofErr w:type="gramStart"/>
      <w:r>
        <w:t>small scale</w:t>
      </w:r>
      <w:proofErr w:type="gramEnd"/>
      <w:r>
        <w:t xml:space="preserve"> educational enterprises—and in principle, to individual instructors—assumes the feasibility of a division of labor between the human and the AI side of the hybrid: where the burden of content is to be shouldered by the AI, and the supervision and training in out of the box thinking, by the tutor. But doesn’t catching unreasonable mistakes, noticing what an AI has overlooked, and recognizing an original and perhaps promising step on the part of a student presuppose deep knowledge of a subject? Even allowing for our earlier comparison, of what it takes to do so to the wherewithal marshalled by an audience member responding to a talk, won’t this entail specialization on the part of tutors, and so, the need for staffs of specialized teachers? And won’t this return us to institutionalized training structures?</w:t>
      </w:r>
    </w:p>
    <w:p w14:paraId="61144076" w14:textId="77777777" w:rsidR="00F853F9" w:rsidRDefault="00F853F9">
      <w:pPr>
        <w:pStyle w:val="BodyText"/>
      </w:pPr>
      <w:r>
        <w:t xml:space="preserve">What is more, keeping in mind the division of labor in the hybrid tutor-AI model, where the task assigned to the human side of the team is thinking out of the box, and teaching a student to do so: instructors with the intelligence and temperament to occupy that role are a scarce resource. (Even in higher education, where there is a premium on research on the part of teaching staff, not proceeding by rote is </w:t>
      </w:r>
      <w:r>
        <w:rPr>
          <w:i/>
          <w:iCs/>
        </w:rPr>
        <w:t>rare</w:t>
      </w:r>
      <w:r>
        <w:t>.) And once instructors are thinking out of the box, how will it be possible to supervise them?</w:t>
      </w:r>
    </w:p>
    <w:p w14:paraId="60F9CD80" w14:textId="77777777" w:rsidR="00F853F9" w:rsidRDefault="00F853F9">
      <w:pPr>
        <w:pStyle w:val="BodyText"/>
      </w:pPr>
      <w:r>
        <w:t xml:space="preserve">And one more qualm. Mom-and-pop diners have no choice but to suppress procedure creep, because they’re simply too small-scale to support it, and I’ve been assuming that AI-tutor hybrids will face the same constraints. But perhaps AI will make it feasible even for tiny </w:t>
      </w:r>
      <w:r>
        <w:lastRenderedPageBreak/>
        <w:t>enterprises to implement and enforce policy and policy after policy: no individual could keep track of all of them at once, but an electronic prosthesis possibly could. And then the pull of policy will once again be impossible to resist.</w:t>
      </w:r>
    </w:p>
    <w:p w14:paraId="6A4D9126" w14:textId="77777777" w:rsidR="00F853F9" w:rsidRDefault="00F853F9">
      <w:pPr>
        <w:pStyle w:val="BodyText"/>
      </w:pPr>
      <w:r>
        <w:t xml:space="preserve">Some of these issues, I’m going to suggest, seem more manageable to me than others. But the point I want take away from the review of these issues is that most of them will have to be </w:t>
      </w:r>
      <w:r>
        <w:rPr>
          <w:i/>
          <w:iCs/>
        </w:rPr>
        <w:t>managed</w:t>
      </w:r>
      <w:r>
        <w:t xml:space="preserve">—rather than resolved. The live, and still open question is whether that can </w:t>
      </w:r>
      <w:proofErr w:type="gramStart"/>
      <w:r>
        <w:t>done</w:t>
      </w:r>
      <w:proofErr w:type="gramEnd"/>
      <w:r>
        <w:t xml:space="preserve"> successfully.</w:t>
      </w:r>
    </w:p>
    <w:p w14:paraId="3CC63CFD" w14:textId="3FF59CAC" w:rsidR="00F853F9" w:rsidRDefault="00F853F9">
      <w:pPr>
        <w:pStyle w:val="Heading1"/>
      </w:pPr>
      <w:bookmarkStart w:id="9" w:name="section-8"/>
      <w:bookmarkEnd w:id="8"/>
      <w:r>
        <w:t>9.</w:t>
      </w:r>
    </w:p>
    <w:p w14:paraId="1C1E9C1D" w14:textId="77777777" w:rsidR="00F853F9" w:rsidRDefault="00F853F9">
      <w:pPr>
        <w:pStyle w:val="FirstParagraph"/>
      </w:pPr>
      <w:r>
        <w:t xml:space="preserve">Long ago, amidst the cultural upheavals of the 1960s and 1970s, Ivan Illich argued for “the disestablishment of any and all institutions which serve the purpose of compulsory learning”. </w:t>
      </w:r>
      <w:proofErr w:type="spellStart"/>
      <w:r>
        <w:rPr>
          <w:i/>
          <w:iCs/>
        </w:rPr>
        <w:t>Deschooling</w:t>
      </w:r>
      <w:proofErr w:type="spellEnd"/>
      <w:r>
        <w:rPr>
          <w:i/>
          <w:iCs/>
        </w:rPr>
        <w:t xml:space="preserve"> Society</w:t>
      </w:r>
      <w:r>
        <w:t xml:space="preserve"> was widely read, but generally dismissed as utopian, which seems to me to have been the misapprehension of an underlying conceptual problem. Illich had correctly diagnosed the problem as the institutionalization of education (though for reasons rather different than the ones we’ve been tracing out here); but there are jobs that institutions do for us that we don’t know how to get done otherwise. If you imagine those jobs somehow taken care of, but without the institutions, the proposal looks like fantasy. And if you envision institutions taking on those jobs, isn’t the solution being proposed—deinstitutionalized institutions—incoherent, and a bad fit to the analysis of the problem?</w:t>
      </w:r>
      <w:r>
        <w:rPr>
          <w:rStyle w:val="EndnoteReference"/>
        </w:rPr>
        <w:endnoteReference w:id="28"/>
      </w:r>
    </w:p>
    <w:p w14:paraId="5D57D515" w14:textId="77777777" w:rsidR="00F853F9" w:rsidRDefault="00F853F9">
      <w:pPr>
        <w:pStyle w:val="BodyText"/>
      </w:pPr>
      <w:r>
        <w:t>In the world of (let’s just say it) pure philosophy, this sort of incoherence, in which a would-be solution to a problem reproduces the problem, counts as a refutation. But in real-world policy choice, we often enough find ourselves forced to cope with this sort of practical incoherence, without being able to discharge it. It’s characteristic of such cases that decisions end up being about how to mitigate, rather than remove, hard-to-evade downsides that are normally already present in one’s initial problem specification.</w:t>
      </w:r>
    </w:p>
    <w:p w14:paraId="0D966A96" w14:textId="77777777" w:rsidR="00F853F9" w:rsidRDefault="00F853F9">
      <w:pPr>
        <w:pStyle w:val="BodyText"/>
      </w:pPr>
      <w:r>
        <w:t>I’ll pick up on the methodological point shortly, but allowing that realistic responses to policy creep in education will somehow try to split the difference between institutionalization and its contrary, and usually in an unprincipled manner, let’s page through our cluster of issues and objections, keeping in mind not only what AI is good at, but what humans are sometimes good at.</w:t>
      </w:r>
    </w:p>
    <w:p w14:paraId="5E83BBCE" w14:textId="6BFC8177" w:rsidR="00F853F9" w:rsidRDefault="00F853F9">
      <w:pPr>
        <w:pStyle w:val="BodyText"/>
      </w:pPr>
      <w:r>
        <w:t xml:space="preserve">Starting with the issue of quality assessment and certification, I suggested that in any case we should be looking around for alternatives to institutional solutions. However, if pataphysics is the future, we really have no choice to but to find them. Only a human instructor can certify that a student is good at coming up with new ideas, and at noticing things that an AI doesn’t. When you are checking that an </w:t>
      </w:r>
      <w:proofErr w:type="spellStart"/>
      <w:r>
        <w:t>instructee</w:t>
      </w:r>
      <w:proofErr w:type="spellEnd"/>
      <w:r>
        <w:t xml:space="preserve"> can reliably extend a pattern, that’s a procedure that can be routinized and administered </w:t>
      </w:r>
      <w:proofErr w:type="spellStart"/>
      <w:r>
        <w:rPr>
          <w:i/>
          <w:iCs/>
        </w:rPr>
        <w:t>en</w:t>
      </w:r>
      <w:proofErr w:type="spellEnd"/>
      <w:r>
        <w:rPr>
          <w:i/>
          <w:iCs/>
        </w:rPr>
        <w:t xml:space="preserve"> masse</w:t>
      </w:r>
      <w:r>
        <w:t>, because the examiner already knows what the right answers are. But when you’re asking someone to show he can think outside the box, you don’t already know what the answer is.</w:t>
      </w:r>
    </w:p>
    <w:p w14:paraId="7EC8BA54" w14:textId="77777777" w:rsidR="00F853F9" w:rsidRDefault="00F853F9">
      <w:pPr>
        <w:pStyle w:val="BodyText"/>
      </w:pPr>
      <w:r>
        <w:t xml:space="preserve">Fortunately, in some sense this is a formerly solved problem. At the high end of our educational system, these sorts of assessments have always been done informally, and traditionally they are conveyed in letters of recommendation. Grades on tests are informative only up to a point; it is in the letter that you can vouch that a student has good </w:t>
      </w:r>
      <w:r>
        <w:lastRenderedPageBreak/>
        <w:t>intuitions as to, say, which problems are promising; that he’s inventive in coming up with possible solutions, and perceptive about how one could find out if they worked. The difficulty here is that although such assessments were once meant, and taken, very seriously, a longstanding regime of perverse incentives has debased the currency. In that older practice, rating students’ originality, intellectual agility, sensitivity and so on, that is, qualities that metrics are able to capture poorly or not at all, was achieved by cross-calibrating experienced qualitative judgments, rather than via the metrics-based approach we default to today. If you like, the underlying problem to be solved is what it would take to make letters of recommendation believable again.</w:t>
      </w:r>
    </w:p>
    <w:p w14:paraId="75A12950" w14:textId="77777777" w:rsidR="00F853F9" w:rsidRDefault="00F853F9">
      <w:pPr>
        <w:pStyle w:val="BodyText"/>
      </w:pPr>
      <w:r>
        <w:t xml:space="preserve">This is not the occasion to consider how to reinstall the requisite honesty, calibrate assessments, and regulate recommenders’ judgment, but if we allow that </w:t>
      </w:r>
      <w:r>
        <w:rPr>
          <w:i/>
          <w:iCs/>
        </w:rPr>
        <w:t>this</w:t>
      </w:r>
      <w:r>
        <w:t xml:space="preserve"> problem is solvable, we have identified a resource that will go a long way toward vetting the quality of human-AI hybrid instruction. It should also count as a resource to be used in vetting the AI applications themselves. If tutoring, in the arrangement we are considering, is close to one-on-one, we have to suppose there to be many instructors available, who can collectively be drawn upon to identify problems in those applications. And since many tutors will be highly knowledgeable in specific subject areas, regulators will have a broad and deep resource base to draw upon.</w:t>
      </w:r>
    </w:p>
    <w:p w14:paraId="42BAEB8E" w14:textId="77777777" w:rsidR="00F853F9" w:rsidRDefault="00F853F9">
      <w:pPr>
        <w:pStyle w:val="BodyText"/>
      </w:pPr>
      <w:r>
        <w:t>I’m less troubled by the need for students to have more than a single tutor. Today parents send their children to one instructor for piano lessons, to a second for tennis lessons, and to a third for martial arts. We’ve explained why the coverage provided by a single AI-human duo can be much broader than what a teacher, operating in the mode to which we now default, can support. However, we do need to remind ourselves that, especially nowadays, certain sorts of training are capital-intensive, requiring labs, agricultural research stations, supercomputers, practice rooms, museum collections…to start off an indefinitely long list. It’s hard to see how this side of the curriculum can be covered by freelancers. Perhaps, and recalling the former prevalence of apprenticeships, we should be considering how far it can be shifted to business and other vocational environments, where those resources are already in use.</w:t>
      </w:r>
    </w:p>
    <w:p w14:paraId="17EB8C6B" w14:textId="77777777" w:rsidR="00F853F9" w:rsidRDefault="00F853F9">
      <w:pPr>
        <w:pStyle w:val="BodyText"/>
      </w:pPr>
      <w:r>
        <w:t>But I do take much more seriously the dependence on a scarce resource, instructors who are up for doing what AI doesn’t. The educational reform programs of James Mill and John Dewey did not scale, and were soon abandoned, because the high-quality personnel resources weren’t on hand.</w:t>
      </w:r>
      <w:r>
        <w:rPr>
          <w:rStyle w:val="EndnoteReference"/>
        </w:rPr>
        <w:endnoteReference w:id="29"/>
      </w:r>
      <w:r>
        <w:t xml:space="preserve"> Here at any rate we can explore to what extent the apparent shortage of instructors who are up for noticing surprising but promising trains of thought, and encouraging students to follow them where they go, is due to our policy saturated environment. Let me supplement that suggestion with a bit of analogy and anecdote, to convey what I have in mind.</w:t>
      </w:r>
    </w:p>
    <w:p w14:paraId="42769294" w14:textId="77777777" w:rsidR="00F853F9" w:rsidRDefault="00F853F9">
      <w:pPr>
        <w:pStyle w:val="BodyText"/>
      </w:pPr>
      <w:r>
        <w:t xml:space="preserve">A lifelong police officer, and eventual city manager of a town on the far side of the valley where I live, explained to me once that there had been, over the course of his professional career, a gradual but constant improvement in the quality of recruits to his force; a good indicator was the ratio of applicants to positions, which had reached over fifteen to one. Then, as in almost all other walks of life in the US, pensions were replaced by tax-deferred retirement accounts, and the applicant ratio dropped, he estimated, to about one to one. (And that one, he continued, wouldn’t necessarily pass the background check.) The </w:t>
      </w:r>
      <w:r>
        <w:lastRenderedPageBreak/>
        <w:t>explanation for the sudden shift was not in the first place financial; rather, a pension sends the message that maybe it’s a difficult and dangerous job, but we’ve got your back, whereas the announcement that whatever you can save is yours conveys precisely the opposite: good luck, buddy, you’re on your own.</w:t>
      </w:r>
    </w:p>
    <w:p w14:paraId="59E209F6" w14:textId="77777777" w:rsidR="00F853F9" w:rsidRDefault="00F853F9">
      <w:pPr>
        <w:pStyle w:val="BodyText"/>
      </w:pPr>
      <w:r>
        <w:t>Solving problems via ever-further increments of policy sends a very strong signal, which I expect is part of what forces the tradeoff between quality in educational staffing and controlling the details of what the staff do. Schools and universities as we have them are telling people who understand things for themselves—who are ‘original,’ in the sense in which John Stuart Mill used that term—to go elsewhere. Perhaps in a less policy-driven mode of education, we would find that there were more of these people than we had thought.</w:t>
      </w:r>
      <w:r>
        <w:rPr>
          <w:rStyle w:val="EndnoteReference"/>
        </w:rPr>
        <w:endnoteReference w:id="30"/>
      </w:r>
    </w:p>
    <w:p w14:paraId="4FA5062C" w14:textId="77777777" w:rsidR="00F853F9" w:rsidRDefault="00F853F9">
      <w:pPr>
        <w:pStyle w:val="BodyText"/>
      </w:pPr>
      <w:r>
        <w:t xml:space="preserve">I also take very seriously the likely effects of institutional supervision on AI instructional tools; but I’m less worried about AI enabling regulators to impose fractally dense policies on one-person businesses. Under that latter heading, we need to remember what AI is bad at as well. Connectionist AI does not do well on hard constraints, and conforming to a complicated set of policies is a joint constraint satisfaction problem. The level of human supervision required for AI-generated results to be trustworthy when it is this sort of problem—think of pricey tax-law consultants—will likely be too demanding to require of very </w:t>
      </w:r>
      <w:proofErr w:type="gramStart"/>
      <w:r>
        <w:t>small scale</w:t>
      </w:r>
      <w:proofErr w:type="gramEnd"/>
      <w:r>
        <w:t xml:space="preserve"> enterprises.</w:t>
      </w:r>
    </w:p>
    <w:p w14:paraId="08EA9DBB" w14:textId="63A73315" w:rsidR="00F853F9" w:rsidRDefault="00F853F9">
      <w:pPr>
        <w:pStyle w:val="Heading1"/>
      </w:pPr>
      <w:bookmarkStart w:id="10" w:name="section-9"/>
      <w:bookmarkEnd w:id="9"/>
      <w:r>
        <w:t>10.</w:t>
      </w:r>
    </w:p>
    <w:p w14:paraId="2BB1B6F2" w14:textId="77777777" w:rsidR="00F853F9" w:rsidRDefault="00F853F9">
      <w:pPr>
        <w:pStyle w:val="FirstParagraph"/>
      </w:pPr>
      <w:r>
        <w:t>I’m an academic, someone who has made my living and career as an employee of large educational institutions, and so it’s awkward for me to put my finger on the problem: that, one way or another, rescuing actual education requires—to the extent possible, which we have registered is not by any means entirely—deinstitutionalizing it. The fabric of institutions is woven out of policy, and as institutions extrude policy, the activities they are there to enable are trapped, paralyzed, and finally sucked dry in its web. It’s too soon to know whether the highly speculative program I have just suggested, of partial but drastic deinstitutionalization, is workable. Only as we grow more familiar with new technologies will we find our way to their limits, but more importantly, that it’s too early to tell has to do with a deep feature of the territory of applied ethics. In the land of pure ethics, we philosophers look for principled solutions. In applied ethics, normally the live question is the practical one, of whether an expedient can be made to work, even though there are principled reasons to expect that it can’t. And normally, although it’s important to anticipate obstacles and difficulties as best one can ahead of time, you only find out how far and how long a solution can be sustained by trying it.</w:t>
      </w:r>
      <w:r>
        <w:rPr>
          <w:rStyle w:val="EndnoteReference"/>
        </w:rPr>
        <w:endnoteReference w:id="31"/>
      </w:r>
      <w:bookmarkEnd w:id="10"/>
    </w:p>
    <w:p w14:paraId="07EC7718" w14:textId="77777777" w:rsidR="0051740B" w:rsidRDefault="0051740B" w:rsidP="0051740B">
      <w:pPr>
        <w:pStyle w:val="BodyText"/>
      </w:pPr>
    </w:p>
    <w:p w14:paraId="71FFECFF" w14:textId="3D948E92" w:rsidR="0051740B" w:rsidRPr="0051740B" w:rsidRDefault="0051740B" w:rsidP="0051740B">
      <w:pPr>
        <w:pStyle w:val="BodyText"/>
      </w:pPr>
    </w:p>
    <w:p w14:paraId="78D49CEB" w14:textId="743BC432" w:rsidR="0051740B" w:rsidRPr="0051740B" w:rsidRDefault="00233551" w:rsidP="0051740B">
      <w:pPr>
        <w:pStyle w:val="BodyText"/>
      </w:pPr>
      <w:r>
        <w:t xml:space="preserve">  </w:t>
      </w:r>
    </w:p>
    <w:sectPr w:rsidR="0051740B" w:rsidRPr="0051740B" w:rsidSect="008C68BF">
      <w:endnotePr>
        <w:numFmt w:val="decimal"/>
      </w:endnotePr>
      <w:pgSz w:w="12240" w:h="15840" w:code="1"/>
      <w:pgMar w:top="1417" w:right="1417" w:bottom="1134" w:left="141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85D1D" w14:textId="77777777" w:rsidR="00FA1AF7" w:rsidRDefault="00FA1AF7">
      <w:pPr>
        <w:spacing w:after="0"/>
      </w:pPr>
      <w:r>
        <w:separator/>
      </w:r>
    </w:p>
  </w:endnote>
  <w:endnote w:type="continuationSeparator" w:id="0">
    <w:p w14:paraId="3885A0C2" w14:textId="77777777" w:rsidR="00FA1AF7" w:rsidRDefault="00FA1AF7">
      <w:pPr>
        <w:spacing w:after="0"/>
      </w:pPr>
      <w:r>
        <w:continuationSeparator/>
      </w:r>
    </w:p>
  </w:endnote>
  <w:endnote w:id="1">
    <w:p w14:paraId="51EEBE2F" w14:textId="34319DDB" w:rsidR="00F853F9" w:rsidRDefault="00F853F9">
      <w:pPr>
        <w:pStyle w:val="EndnoteText"/>
      </w:pPr>
      <w:r>
        <w:rPr>
          <w:rStyle w:val="EndnoteReference"/>
        </w:rPr>
        <w:endnoteRef/>
      </w:r>
      <w:r>
        <w:t xml:space="preserve"> Thanks to</w:t>
      </w:r>
      <w:r w:rsidR="00442F48">
        <w:t xml:space="preserve"> </w:t>
      </w:r>
      <w:proofErr w:type="spellStart"/>
      <w:r w:rsidR="00442F48">
        <w:t>Svantje</w:t>
      </w:r>
      <w:proofErr w:type="spellEnd"/>
      <w:r w:rsidR="00442F48">
        <w:t xml:space="preserve"> </w:t>
      </w:r>
      <w:proofErr w:type="spellStart"/>
      <w:r w:rsidR="00442F48">
        <w:t>Guinebert</w:t>
      </w:r>
      <w:proofErr w:type="spellEnd"/>
      <w:r w:rsidR="00442F48">
        <w:t>,</w:t>
      </w:r>
      <w:r w:rsidR="006C2142">
        <w:t xml:space="preserve"> </w:t>
      </w:r>
      <w:proofErr w:type="spellStart"/>
      <w:r w:rsidR="006C2142">
        <w:t>Jonne</w:t>
      </w:r>
      <w:proofErr w:type="spellEnd"/>
      <w:r w:rsidR="006C2142">
        <w:t xml:space="preserve"> Maas</w:t>
      </w:r>
      <w:r w:rsidR="006C2142">
        <w:t>,</w:t>
      </w:r>
      <w:r w:rsidR="00442F48">
        <w:t xml:space="preserve"> </w:t>
      </w:r>
      <w:r>
        <w:t xml:space="preserve">C. </w:t>
      </w:r>
      <w:proofErr w:type="spellStart"/>
      <w:r>
        <w:t>Thi</w:t>
      </w:r>
      <w:proofErr w:type="spellEnd"/>
      <w:r>
        <w:t xml:space="preserve"> Nguyen</w:t>
      </w:r>
      <w:r w:rsidR="006C2142">
        <w:t>,</w:t>
      </w:r>
      <w:r>
        <w:t xml:space="preserve"> Harvey Siegel</w:t>
      </w:r>
      <w:r w:rsidR="006C2142">
        <w:t xml:space="preserve"> and Natalia Washington</w:t>
      </w:r>
      <w:r>
        <w:t xml:space="preserve"> for comments on an earlier draft, to the participants in the </w:t>
      </w:r>
      <w:r w:rsidR="008B1F50">
        <w:t>issue</w:t>
      </w:r>
      <w:r>
        <w:t xml:space="preserve">’s </w:t>
      </w:r>
      <w:r>
        <w:rPr>
          <w:i/>
          <w:iCs/>
        </w:rPr>
        <w:t>Social Philosophy and Policy</w:t>
      </w:r>
      <w:r>
        <w:t xml:space="preserve"> workshop, to Kevin Baum, Christoph </w:t>
      </w:r>
      <w:proofErr w:type="spellStart"/>
      <w:r>
        <w:t>Fehige</w:t>
      </w:r>
      <w:proofErr w:type="spellEnd"/>
      <w:r>
        <w:t xml:space="preserve">, </w:t>
      </w:r>
      <w:r w:rsidR="00442F48">
        <w:t xml:space="preserve">Hillel </w:t>
      </w:r>
      <w:proofErr w:type="spellStart"/>
      <w:r w:rsidR="00442F48">
        <w:t>Millgram</w:t>
      </w:r>
      <w:proofErr w:type="spellEnd"/>
      <w:r w:rsidR="00BE1C17">
        <w:t>,</w:t>
      </w:r>
      <w:r w:rsidR="00442F48">
        <w:t xml:space="preserve"> Madeleine Parkinson, </w:t>
      </w:r>
      <w:r>
        <w:t xml:space="preserve">Hollis Robbins, Laura Wharton and Michael Wilhelm for helpful conversation, to the University of the Saarland for a place to write, and to the University of Utah for a Sterling M. </w:t>
      </w:r>
      <w:proofErr w:type="spellStart"/>
      <w:r>
        <w:t>McMurrin</w:t>
      </w:r>
      <w:proofErr w:type="spellEnd"/>
      <w:r>
        <w:t xml:space="preserve"> Esteemed Faculty Award.</w:t>
      </w:r>
    </w:p>
  </w:endnote>
  <w:endnote w:id="2">
    <w:p w14:paraId="4F02F687" w14:textId="7D5FB8D6" w:rsidR="00F853F9" w:rsidRDefault="00F853F9">
      <w:pPr>
        <w:pStyle w:val="EndnoteText"/>
      </w:pPr>
      <w:r>
        <w:rPr>
          <w:rStyle w:val="EndnoteReference"/>
        </w:rPr>
        <w:endnoteRef/>
      </w:r>
      <w:r>
        <w:t xml:space="preserve"> For a painful series of historical illustrations, see Laurel Leff, </w:t>
      </w:r>
      <w:r>
        <w:rPr>
          <w:i/>
          <w:iCs/>
        </w:rPr>
        <w:t xml:space="preserve">Well Worth Saving </w:t>
      </w:r>
      <w:r>
        <w:t>(Yale University Press, 2019).</w:t>
      </w:r>
    </w:p>
  </w:endnote>
  <w:endnote w:id="3">
    <w:p w14:paraId="3FB870A2" w14:textId="0F5B8615" w:rsidR="00F853F9" w:rsidRDefault="00F853F9">
      <w:pPr>
        <w:pStyle w:val="EndnoteText"/>
      </w:pPr>
      <w:r>
        <w:rPr>
          <w:rStyle w:val="EndnoteReference"/>
        </w:rPr>
        <w:endnoteRef/>
      </w:r>
      <w:r>
        <w:t xml:space="preserve">Alfred Jarry, </w:t>
      </w:r>
      <w:r>
        <w:rPr>
          <w:i/>
          <w:iCs/>
        </w:rPr>
        <w:t xml:space="preserve">Exploits and Opinions of Dr. </w:t>
      </w:r>
      <w:proofErr w:type="spellStart"/>
      <w:r>
        <w:rPr>
          <w:i/>
          <w:iCs/>
        </w:rPr>
        <w:t>Faustroll</w:t>
      </w:r>
      <w:proofErr w:type="spellEnd"/>
      <w:r>
        <w:rPr>
          <w:i/>
          <w:iCs/>
        </w:rPr>
        <w:t xml:space="preserve">, </w:t>
      </w:r>
      <w:proofErr w:type="spellStart"/>
      <w:r>
        <w:rPr>
          <w:i/>
          <w:iCs/>
        </w:rPr>
        <w:t>Pataphysician</w:t>
      </w:r>
      <w:proofErr w:type="spellEnd"/>
      <w:r>
        <w:t>, trans. Simon Watson Taylor (Exact Change, 1996), 21.</w:t>
      </w:r>
    </w:p>
  </w:endnote>
  <w:endnote w:id="4">
    <w:p w14:paraId="21C5DDA8" w14:textId="7A31CFCD" w:rsidR="00F853F9" w:rsidRDefault="00F853F9">
      <w:pPr>
        <w:pStyle w:val="EndnoteText"/>
      </w:pPr>
      <w:r>
        <w:rPr>
          <w:rStyle w:val="EndnoteReference"/>
        </w:rPr>
        <w:endnoteRef/>
      </w:r>
      <w:r>
        <w:t xml:space="preserve"> See, for instance, Michael Bratman, </w:t>
      </w:r>
      <w:r>
        <w:rPr>
          <w:i/>
          <w:iCs/>
        </w:rPr>
        <w:t>Structures of Agency</w:t>
      </w:r>
      <w:r>
        <w:t xml:space="preserve"> (Oxford University Press, 2007), </w:t>
      </w:r>
      <w:r>
        <w:rPr>
          <w:i/>
          <w:iCs/>
        </w:rPr>
        <w:t>passim</w:t>
      </w:r>
      <w:r>
        <w:t>.</w:t>
      </w:r>
    </w:p>
  </w:endnote>
  <w:endnote w:id="5">
    <w:p w14:paraId="3ED5319A" w14:textId="6C51F4D3" w:rsidR="00F853F9" w:rsidRDefault="00F853F9">
      <w:pPr>
        <w:pStyle w:val="EndnoteText"/>
      </w:pPr>
      <w:r>
        <w:rPr>
          <w:rStyle w:val="EndnoteReference"/>
        </w:rPr>
        <w:endnoteRef/>
      </w:r>
      <w:r>
        <w:t xml:space="preserve"> ‘Normally’: </w:t>
      </w:r>
      <w:r w:rsidR="00111A24">
        <w:t xml:space="preserve">Lorraine </w:t>
      </w:r>
      <w:r>
        <w:t xml:space="preserve">Daston, </w:t>
      </w:r>
      <w:r w:rsidR="00111A24">
        <w:rPr>
          <w:i/>
          <w:iCs/>
        </w:rPr>
        <w:t xml:space="preserve">Rules </w:t>
      </w:r>
      <w:r w:rsidR="00111A24">
        <w:t xml:space="preserve">(Princeton University Press, </w:t>
      </w:r>
      <w:r w:rsidRPr="00111A24">
        <w:t>2022</w:t>
      </w:r>
      <w:r w:rsidR="00111A24">
        <w:t>)</w:t>
      </w:r>
      <w:r>
        <w:t>, discusses medieval religious organizations in which, say, an abbot’s judgments, which are more or less consistent, invoke an idealized role model such as a saint—but these are premodern expedients.</w:t>
      </w:r>
    </w:p>
  </w:endnote>
  <w:endnote w:id="6">
    <w:p w14:paraId="13DCA3EF" w14:textId="77777777" w:rsidR="00F853F9" w:rsidRDefault="00F853F9">
      <w:pPr>
        <w:pStyle w:val="EndnoteText"/>
      </w:pPr>
      <w:r>
        <w:rPr>
          <w:rStyle w:val="EndnoteReference"/>
        </w:rPr>
        <w:endnoteRef/>
      </w:r>
      <w:r>
        <w:t xml:space="preserve"> They can also be used to disincentivize courses of action: you’ll have noticed that you can subscribe to services with barely a click, but that to unsubscribe, there is a long and complicated series of steps to navigate, obviously put in place to make you just give up. (Thanks to Mel Andrews for reminding me of this use.)</w:t>
      </w:r>
    </w:p>
    <w:p w14:paraId="1289CA24" w14:textId="77777777" w:rsidR="00F853F9" w:rsidRDefault="00F853F9">
      <w:pPr>
        <w:pStyle w:val="EndnoteText"/>
      </w:pPr>
      <w:r>
        <w:t xml:space="preserve">Notice also that the point of a great many policy adoptions cannot be stated without invoking that very notion, that of a policy. It’s not, e.g., that we’re trying to make sure our students can afford their textbooks, but that we want to be able to tell our state legislature that we have an affordable textbook </w:t>
      </w:r>
      <w:r>
        <w:rPr>
          <w:i/>
          <w:iCs/>
        </w:rPr>
        <w:t>policy</w:t>
      </w:r>
      <w:r>
        <w:t>.</w:t>
      </w:r>
    </w:p>
  </w:endnote>
  <w:endnote w:id="7">
    <w:p w14:paraId="4B1C710A" w14:textId="17F8A0B1" w:rsidR="00F853F9" w:rsidRDefault="00F853F9">
      <w:pPr>
        <w:pStyle w:val="EndnoteText"/>
      </w:pPr>
      <w:r>
        <w:rPr>
          <w:rStyle w:val="EndnoteReference"/>
        </w:rPr>
        <w:endnoteRef/>
      </w:r>
      <w:r>
        <w:t xml:space="preserve"> That first suggestion is familiar; see, e.g., </w:t>
      </w:r>
      <w:r w:rsidR="00111A24">
        <w:t xml:space="preserve">Gordon </w:t>
      </w:r>
      <w:r>
        <w:t>Tullock,</w:t>
      </w:r>
      <w:r w:rsidR="00111A24">
        <w:t xml:space="preserve"> </w:t>
      </w:r>
      <w:r w:rsidR="00111A24">
        <w:rPr>
          <w:i/>
          <w:iCs/>
        </w:rPr>
        <w:t xml:space="preserve">The Politics of Bureaucracy </w:t>
      </w:r>
      <w:r w:rsidR="00111A24">
        <w:t>(Public Affairs Press,</w:t>
      </w:r>
      <w:r>
        <w:t xml:space="preserve"> 1965</w:t>
      </w:r>
      <w:r w:rsidR="00442F48">
        <w:t>)</w:t>
      </w:r>
      <w:r>
        <w:t xml:space="preserve">, and </w:t>
      </w:r>
      <w:r w:rsidR="00111A24">
        <w:t xml:space="preserve">William </w:t>
      </w:r>
      <w:proofErr w:type="spellStart"/>
      <w:r>
        <w:t>Niskanen</w:t>
      </w:r>
      <w:proofErr w:type="spellEnd"/>
      <w:r>
        <w:t xml:space="preserve">, </w:t>
      </w:r>
      <w:r w:rsidR="00111A24">
        <w:rPr>
          <w:i/>
          <w:iCs/>
        </w:rPr>
        <w:t xml:space="preserve">Bureaucracy and Representative Government </w:t>
      </w:r>
      <w:r w:rsidR="00111A24">
        <w:t>(</w:t>
      </w:r>
      <w:proofErr w:type="spellStart"/>
      <w:r w:rsidR="00111A24">
        <w:t>AldineTransaction</w:t>
      </w:r>
      <w:proofErr w:type="spellEnd"/>
      <w:r w:rsidR="00111A24">
        <w:t xml:space="preserve">, </w:t>
      </w:r>
      <w:r>
        <w:t>2007</w:t>
      </w:r>
      <w:r w:rsidR="00111A24">
        <w:t>)</w:t>
      </w:r>
      <w:r>
        <w:t xml:space="preserve">. But since I have mentioned those authors, and since my readers are no doubt wondering how I am going to document the proliferation of policies (is there </w:t>
      </w:r>
      <w:r>
        <w:rPr>
          <w:i/>
          <w:iCs/>
        </w:rPr>
        <w:t>data</w:t>
      </w:r>
      <w:r>
        <w:t>? how would you so much as count them?), let me borrow some of their methodological remarks. Here is Tullock: “for a number of the assertions…the supporting evidence must be found in the mind of the reader” (15). Likewise, Niskanen: “at each stage…I ask the reader to ask himself the following types of questions: Is this behavioral hypothesis consistent with my personal observation and understanding? Does this theory help organize my observations about related phenomena?” (8) The appeal to “personal experience and casual empiricism,” as Niskanen puts it (191) is hard to avoid when the inquiry is into phenomena that cannot be measured, and the problem will reappear shortly, when we turn to considering what our educational institutions manage to accomplish.</w:t>
      </w:r>
    </w:p>
  </w:endnote>
  <w:endnote w:id="8">
    <w:p w14:paraId="5969E6A7" w14:textId="36DFEB5B" w:rsidR="00233551" w:rsidRPr="00442F48" w:rsidRDefault="00233551">
      <w:pPr>
        <w:pStyle w:val="EndnoteText"/>
      </w:pPr>
      <w:r>
        <w:rPr>
          <w:rStyle w:val="EndnoteReference"/>
        </w:rPr>
        <w:endnoteRef/>
      </w:r>
      <w:r>
        <w:t xml:space="preserve"> Benjamin Ginsberg, </w:t>
      </w:r>
      <w:r>
        <w:rPr>
          <w:i/>
          <w:iCs/>
        </w:rPr>
        <w:t>The Fall of the Faculty:  The Rise of the All-Administrative University and Why It Matters</w:t>
      </w:r>
      <w:r>
        <w:t xml:space="preserve"> (Oxford University Press, 2011).</w:t>
      </w:r>
      <w:r w:rsidR="00442F48">
        <w:t xml:space="preserve">  But can there always be a </w:t>
      </w:r>
      <w:r w:rsidR="00442F48">
        <w:rPr>
          <w:i/>
          <w:iCs/>
        </w:rPr>
        <w:t>good</w:t>
      </w:r>
      <w:r w:rsidR="00442F48">
        <w:t xml:space="preserve"> reason for yet another policy?  Mustn’t there be a </w:t>
      </w:r>
      <w:r w:rsidR="00442F48">
        <w:rPr>
          <w:i/>
          <w:iCs/>
        </w:rPr>
        <w:t>particular</w:t>
      </w:r>
      <w:r w:rsidR="00442F48">
        <w:t xml:space="preserve"> point at which the costs outweigh the benefits?  Here we need to attend to the by-now-extensive discussion of a model case in which there isn’t, started off by Warren Quinn, “The Puzzle of the Self-Torturer,” in his </w:t>
      </w:r>
      <w:r w:rsidR="00442F48">
        <w:rPr>
          <w:i/>
          <w:iCs/>
        </w:rPr>
        <w:t>Morality and Action</w:t>
      </w:r>
      <w:r w:rsidR="006C2142">
        <w:t>, ed. Philippa Foot</w:t>
      </w:r>
      <w:r w:rsidR="00442F48">
        <w:t xml:space="preserve"> (Cambridge University Press, 1993); for the current state of play, see Chrisoula </w:t>
      </w:r>
      <w:proofErr w:type="spellStart"/>
      <w:r w:rsidR="00442F48">
        <w:t>Andreou</w:t>
      </w:r>
      <w:proofErr w:type="spellEnd"/>
      <w:r w:rsidR="00442F48">
        <w:t xml:space="preserve">, </w:t>
      </w:r>
      <w:r w:rsidR="00442F48">
        <w:rPr>
          <w:i/>
          <w:iCs/>
        </w:rPr>
        <w:t xml:space="preserve">Choosing Well:  The Good, the Bad, and the Trivial </w:t>
      </w:r>
      <w:r w:rsidR="00442F48">
        <w:t>(Oxford University Press, 2023).</w:t>
      </w:r>
    </w:p>
  </w:endnote>
  <w:endnote w:id="9">
    <w:p w14:paraId="1D295BAF" w14:textId="5AF2413B" w:rsidR="00F853F9" w:rsidRDefault="00F853F9">
      <w:pPr>
        <w:pStyle w:val="EndnoteText"/>
      </w:pPr>
      <w:r>
        <w:rPr>
          <w:rStyle w:val="EndnoteReference"/>
        </w:rPr>
        <w:endnoteRef/>
      </w:r>
      <w:r>
        <w:t xml:space="preserve"> </w:t>
      </w:r>
      <w:r w:rsidR="00111A24">
        <w:t xml:space="preserve">William </w:t>
      </w:r>
      <w:r>
        <w:t xml:space="preserve">Bowen and </w:t>
      </w:r>
      <w:r w:rsidR="00111A24">
        <w:t xml:space="preserve">Michael </w:t>
      </w:r>
      <w:r>
        <w:t>McPherson,</w:t>
      </w:r>
      <w:r w:rsidR="00111A24">
        <w:t xml:space="preserve"> </w:t>
      </w:r>
      <w:r w:rsidR="00111A24">
        <w:rPr>
          <w:i/>
          <w:iCs/>
        </w:rPr>
        <w:t xml:space="preserve">Lesson Plan:  An Agenda for Change in American Higher Education </w:t>
      </w:r>
      <w:r w:rsidR="00111A24">
        <w:t>(Princeton University Press</w:t>
      </w:r>
      <w:r w:rsidR="00442F48">
        <w:t>, 2016</w:t>
      </w:r>
      <w:r w:rsidR="00111A24">
        <w:t>),</w:t>
      </w:r>
      <w:r>
        <w:t> 106–9, suggest that it is an illusion produced by reclassification of job categories and a shift in what skills are required by them. For what it is worth, I find that hard to believe: Gilbert Ryle’s most famous example of what he called a “category mistake” was that of someone being shown the Oxford colleges, and then asking to be shown the university: as though the university were just another college, and not the sum of them. My own College of Humanities contains various departments, and then…another unit within the College, namely, the College of Humanities. What in Ryle’s famous tour of Oxford was a conceptual confusion in my own university is the reality on the ground.</w:t>
      </w:r>
    </w:p>
    <w:p w14:paraId="4E1E38F8" w14:textId="77777777" w:rsidR="00111A24" w:rsidRDefault="00111A24">
      <w:pPr>
        <w:pStyle w:val="EndnoteText"/>
      </w:pPr>
    </w:p>
    <w:p w14:paraId="56AF1440" w14:textId="77777777" w:rsidR="00F853F9" w:rsidRDefault="00F853F9">
      <w:pPr>
        <w:pStyle w:val="EndnoteText"/>
      </w:pPr>
      <w:r>
        <w:t>The College of Humanities competes, within that very College, for resources with the departments it administers, and because the College decides who gets those resources, I have watched it gradually grow to be roughly the size, as far as staffing goes, of the Philosophy Department. What do all those staffers do? I was once told that their primary function was to protect the departments in the College from administrators elsewhere in the university.</w:t>
      </w:r>
    </w:p>
  </w:endnote>
  <w:endnote w:id="10">
    <w:p w14:paraId="15A8C6A0" w14:textId="77777777" w:rsidR="00F853F9" w:rsidRDefault="00F853F9">
      <w:pPr>
        <w:pStyle w:val="EndnoteText"/>
      </w:pPr>
      <w:r>
        <w:rPr>
          <w:rStyle w:val="EndnoteReference"/>
        </w:rPr>
        <w:endnoteRef/>
      </w:r>
      <w:r>
        <w:t xml:space="preserve"> But not only in universities: I’m informed that a very similar dynamic is at work in medicine.</w:t>
      </w:r>
    </w:p>
  </w:endnote>
  <w:endnote w:id="11">
    <w:p w14:paraId="06D8A6C5" w14:textId="5744C044" w:rsidR="00F853F9" w:rsidRDefault="00F853F9">
      <w:pPr>
        <w:pStyle w:val="EndnoteText"/>
      </w:pPr>
      <w:r>
        <w:rPr>
          <w:rStyle w:val="EndnoteReference"/>
        </w:rPr>
        <w:endnoteRef/>
      </w:r>
      <w:r>
        <w:t xml:space="preserve"> </w:t>
      </w:r>
      <w:r w:rsidR="00111A24">
        <w:t xml:space="preserve">Ruth Schwartz </w:t>
      </w:r>
      <w:r>
        <w:t>Cowan,</w:t>
      </w:r>
      <w:r w:rsidR="00111A24">
        <w:t xml:space="preserve"> </w:t>
      </w:r>
      <w:r w:rsidR="00111A24">
        <w:rPr>
          <w:i/>
          <w:iCs/>
        </w:rPr>
        <w:t xml:space="preserve">More Work for Mother </w:t>
      </w:r>
      <w:r w:rsidR="00111A24">
        <w:t>(Basic Books,</w:t>
      </w:r>
      <w:r>
        <w:t xml:space="preserve"> 1983</w:t>
      </w:r>
      <w:r w:rsidR="00111A24">
        <w:t>)</w:t>
      </w:r>
      <w:r>
        <w:t>.</w:t>
      </w:r>
    </w:p>
  </w:endnote>
  <w:endnote w:id="12">
    <w:p w14:paraId="40828159" w14:textId="03751A9D" w:rsidR="00F853F9" w:rsidRDefault="00F853F9">
      <w:pPr>
        <w:pStyle w:val="EndnoteText"/>
      </w:pPr>
      <w:r>
        <w:rPr>
          <w:rStyle w:val="EndnoteReference"/>
        </w:rPr>
        <w:endnoteRef/>
      </w:r>
      <w:r>
        <w:t xml:space="preserve"> But surely the college students read, write and so on </w:t>
      </w:r>
      <w:r>
        <w:rPr>
          <w:i/>
          <w:iCs/>
        </w:rPr>
        <w:t>better</w:t>
      </w:r>
      <w:r>
        <w:t xml:space="preserve"> than the eighth-graders of a century back?</w:t>
      </w:r>
      <w:bookmarkStart w:id="3" w:name="semiliterates"/>
      <w:bookmarkEnd w:id="3"/>
      <w:r>
        <w:t xml:space="preserve"> Don’t be so sure. I regularly have my students read passages aloud from whatever text the class is engaging, and it is normal to have it go haltingly, and to hear someone stumbling over words. Having put writing by Lewis Carroll to this use, I am convinced that a good many college students would even be unable to read children’s books from that era fluently, and the problem is evidently widespread enough to have received recent journalistic attentio</w:t>
      </w:r>
      <w:r w:rsidR="00111A24">
        <w:t xml:space="preserve">n; see Rose </w:t>
      </w:r>
      <w:proofErr w:type="spellStart"/>
      <w:r>
        <w:t>Horowitch</w:t>
      </w:r>
      <w:proofErr w:type="spellEnd"/>
      <w:r>
        <w:t xml:space="preserve">, </w:t>
      </w:r>
      <w:r w:rsidR="00A54F07">
        <w:t xml:space="preserve">“The Elite College Students Who Can’t Read Books,” </w:t>
      </w:r>
      <w:r w:rsidR="00A54F07">
        <w:rPr>
          <w:i/>
          <w:iCs/>
        </w:rPr>
        <w:t xml:space="preserve">The Atlantic </w:t>
      </w:r>
      <w:r w:rsidR="00A54F07">
        <w:t>334, no. 1 (</w:t>
      </w:r>
      <w:r>
        <w:t>2024)</w:t>
      </w:r>
      <w:r w:rsidR="00A54F07">
        <w:t>, 14-16</w:t>
      </w:r>
      <w:r>
        <w:t>. As an additional corrective, do a quick survey to see how many of your students are satisfying whatever the local quantitative reasoning requirement is called by taking a remedial (or ‘developmental’) mathematics class, that is, one which covers material that in the early twentieth century was considered a prerequisite for high school graduation.</w:t>
      </w:r>
    </w:p>
  </w:endnote>
  <w:endnote w:id="13">
    <w:p w14:paraId="69A90C7F" w14:textId="021711A4" w:rsidR="00F853F9" w:rsidRDefault="00F853F9">
      <w:pPr>
        <w:pStyle w:val="EndnoteText"/>
      </w:pPr>
      <w:r>
        <w:rPr>
          <w:rStyle w:val="EndnoteReference"/>
        </w:rPr>
        <w:endnoteRef/>
      </w:r>
      <w:r>
        <w:t xml:space="preserve"> For discussion of the phenomenon, see </w:t>
      </w:r>
      <w:r w:rsidR="00A54F07">
        <w:t xml:space="preserve">C. </w:t>
      </w:r>
      <w:proofErr w:type="spellStart"/>
      <w:r w:rsidR="00A54F07">
        <w:t>Thi</w:t>
      </w:r>
      <w:proofErr w:type="spellEnd"/>
      <w:r w:rsidR="00A54F07">
        <w:t xml:space="preserve"> </w:t>
      </w:r>
      <w:r>
        <w:t>Nguyen,</w:t>
      </w:r>
      <w:r w:rsidR="00A54F07">
        <w:t xml:space="preserve"> </w:t>
      </w:r>
      <w:r w:rsidR="00A54F07">
        <w:rPr>
          <w:i/>
          <w:iCs/>
        </w:rPr>
        <w:t>The Score:  Games, Metrics, and the Meaning of Life,</w:t>
      </w:r>
      <w:r>
        <w:t xml:space="preserve"> forthcoming.</w:t>
      </w:r>
    </w:p>
  </w:endnote>
  <w:endnote w:id="14">
    <w:p w14:paraId="155143D3" w14:textId="785D6D37" w:rsidR="00F853F9" w:rsidRDefault="00F853F9">
      <w:pPr>
        <w:pStyle w:val="EndnoteText"/>
      </w:pPr>
      <w:r>
        <w:rPr>
          <w:rStyle w:val="EndnoteReference"/>
        </w:rPr>
        <w:endnoteRef/>
      </w:r>
      <w:r>
        <w:t xml:space="preserve"> For investigation of one of the drivers of recent grade inflation, see</w:t>
      </w:r>
      <w:r w:rsidR="00A54F07">
        <w:t xml:space="preserve"> Valen</w:t>
      </w:r>
      <w:r>
        <w:t xml:space="preserve"> Johnson,</w:t>
      </w:r>
      <w:r w:rsidR="00A54F07">
        <w:t xml:space="preserve"> </w:t>
      </w:r>
      <w:r w:rsidR="00A54F07">
        <w:rPr>
          <w:i/>
          <w:iCs/>
        </w:rPr>
        <w:t xml:space="preserve">Grade Inflation:  A Crisis in College Education </w:t>
      </w:r>
      <w:r w:rsidR="00A54F07">
        <w:t>(Springer,</w:t>
      </w:r>
      <w:r>
        <w:t xml:space="preserve"> 2003</w:t>
      </w:r>
      <w:r w:rsidR="00A54F07">
        <w:t>)</w:t>
      </w:r>
      <w:r>
        <w:t>.</w:t>
      </w:r>
    </w:p>
  </w:endnote>
  <w:endnote w:id="15">
    <w:p w14:paraId="69A3A767" w14:textId="229C6888" w:rsidR="00F853F9" w:rsidRPr="00442F48" w:rsidRDefault="00F853F9">
      <w:pPr>
        <w:pStyle w:val="EndnoteText"/>
      </w:pPr>
      <w:r>
        <w:rPr>
          <w:rStyle w:val="EndnoteReference"/>
        </w:rPr>
        <w:endnoteRef/>
      </w:r>
      <w:r>
        <w:t xml:space="preserve"> As in </w:t>
      </w:r>
      <w:r w:rsidR="005C1F76">
        <w:t xml:space="preserve">Claudia </w:t>
      </w:r>
      <w:r>
        <w:t xml:space="preserve">Goldin and </w:t>
      </w:r>
      <w:r w:rsidR="005C1F76">
        <w:t xml:space="preserve">Lawrence </w:t>
      </w:r>
      <w:r>
        <w:t>Katz,</w:t>
      </w:r>
      <w:r w:rsidR="00A54F07">
        <w:t xml:space="preserve"> </w:t>
      </w:r>
      <w:r w:rsidR="005C1F76">
        <w:rPr>
          <w:i/>
          <w:iCs/>
        </w:rPr>
        <w:t xml:space="preserve">The </w:t>
      </w:r>
      <w:r w:rsidR="00A54F07">
        <w:rPr>
          <w:i/>
          <w:iCs/>
        </w:rPr>
        <w:t>Race</w:t>
      </w:r>
      <w:r w:rsidR="005C1F76">
        <w:rPr>
          <w:i/>
          <w:iCs/>
        </w:rPr>
        <w:t xml:space="preserve"> between Education and Technology </w:t>
      </w:r>
      <w:r w:rsidR="005C1F76">
        <w:t>(Harvard University Press, 2008)</w:t>
      </w:r>
      <w:r w:rsidR="00A54F07">
        <w:t>,</w:t>
      </w:r>
      <w:r>
        <w:t xml:space="preserve"> 91, concluding that “the evolution of the wage structure reflects…a race between the growth in the demand for skills driven by technological advances and…in the supply of skills,” and, for a sense of the treatise’s reception,</w:t>
      </w:r>
    </w:p>
    <w:p w14:paraId="465A0BA2" w14:textId="462172FD" w:rsidR="00F853F9" w:rsidRPr="00442F48" w:rsidRDefault="00F853F9">
      <w:pPr>
        <w:pStyle w:val="BlockText"/>
        <w:rPr>
          <w:sz w:val="20"/>
          <w:szCs w:val="20"/>
        </w:rPr>
      </w:pPr>
      <w:r w:rsidRPr="00442F48">
        <w:rPr>
          <w:sz w:val="20"/>
          <w:szCs w:val="20"/>
        </w:rPr>
        <w:t xml:space="preserve">Katz and Goldin…show how technical advances increase the demand for education and the productivity of educated labor, resulting in a growing economy and a healthy economic return to educational investments. (Bowen and McPherson, </w:t>
      </w:r>
      <w:r w:rsidR="00A54F07" w:rsidRPr="00442F48">
        <w:rPr>
          <w:i/>
          <w:iCs/>
          <w:sz w:val="20"/>
          <w:szCs w:val="20"/>
        </w:rPr>
        <w:t>Lesson Plan</w:t>
      </w:r>
      <w:r w:rsidR="00A54F07" w:rsidRPr="00442F48">
        <w:rPr>
          <w:sz w:val="20"/>
          <w:szCs w:val="20"/>
        </w:rPr>
        <w:t>,</w:t>
      </w:r>
      <w:r w:rsidRPr="00442F48">
        <w:rPr>
          <w:sz w:val="20"/>
          <w:szCs w:val="20"/>
        </w:rPr>
        <w:t> 4)</w:t>
      </w:r>
    </w:p>
    <w:p w14:paraId="077D314D" w14:textId="77777777" w:rsidR="00F853F9" w:rsidRDefault="00F853F9">
      <w:pPr>
        <w:pStyle w:val="EndnoteText"/>
      </w:pPr>
      <w:r>
        <w:t xml:space="preserve">Notice that </w:t>
      </w:r>
      <w:proofErr w:type="spellStart"/>
      <w:r>
        <w:t>factive</w:t>
      </w:r>
      <w:proofErr w:type="spellEnd"/>
      <w:r>
        <w:t>, “show”; for reasons I am about to touch on, I take them to have done no such thing.</w:t>
      </w:r>
    </w:p>
  </w:endnote>
  <w:endnote w:id="16">
    <w:p w14:paraId="68D91C94" w14:textId="1CD4659C" w:rsidR="00F853F9" w:rsidRDefault="00F853F9">
      <w:pPr>
        <w:pStyle w:val="EndnoteText"/>
      </w:pPr>
      <w:r>
        <w:rPr>
          <w:rStyle w:val="EndnoteReference"/>
        </w:rPr>
        <w:endnoteRef/>
      </w:r>
      <w:r>
        <w:t xml:space="preserve"> I mean this in the sense made out in </w:t>
      </w:r>
      <w:r w:rsidR="00A54F07">
        <w:t xml:space="preserve">James </w:t>
      </w:r>
      <w:r>
        <w:t xml:space="preserve">Scott, </w:t>
      </w:r>
      <w:r w:rsidR="00A54F07">
        <w:rPr>
          <w:i/>
          <w:iCs/>
        </w:rPr>
        <w:t xml:space="preserve">Seeing Like a State </w:t>
      </w:r>
      <w:r w:rsidR="00A54F07">
        <w:t xml:space="preserve">(Yale University Press, </w:t>
      </w:r>
      <w:r>
        <w:t>1998</w:t>
      </w:r>
      <w:r w:rsidR="00A54F07">
        <w:t>)</w:t>
      </w:r>
      <w:r>
        <w:t>.</w:t>
      </w:r>
    </w:p>
  </w:endnote>
  <w:endnote w:id="17">
    <w:p w14:paraId="6C2A5026" w14:textId="12A4CE50" w:rsidR="00F853F9" w:rsidRDefault="00F853F9">
      <w:pPr>
        <w:pStyle w:val="EndnoteText"/>
      </w:pPr>
      <w:r>
        <w:rPr>
          <w:rStyle w:val="EndnoteReference"/>
        </w:rPr>
        <w:endnoteRef/>
      </w:r>
      <w:r>
        <w:t xml:space="preserve"> For instance, “educational attainment rates, expressed as the percentage of a specified age group that earned a given educational credential,” and why? “Deeper measure of outcomes such as enhanced creativity, improved critical thinking, better social skills, and civic contributions are too complex…for the state of existing measurement capabilities” (Bowen and McPherson, </w:t>
      </w:r>
      <w:r w:rsidR="00A54F07">
        <w:rPr>
          <w:i/>
          <w:iCs/>
        </w:rPr>
        <w:t>Lesson Plan</w:t>
      </w:r>
      <w:r w:rsidR="00A54F07">
        <w:t>,</w:t>
      </w:r>
      <w:r>
        <w:t> 11, 106).</w:t>
      </w:r>
    </w:p>
  </w:endnote>
  <w:endnote w:id="18">
    <w:p w14:paraId="2E51C1B5" w14:textId="1E10ECA5" w:rsidR="00F853F9" w:rsidRDefault="00F853F9">
      <w:pPr>
        <w:pStyle w:val="EndnoteText"/>
      </w:pPr>
      <w:r>
        <w:rPr>
          <w:rStyle w:val="EndnoteReference"/>
        </w:rPr>
        <w:endnoteRef/>
      </w:r>
      <w:r>
        <w:t xml:space="preserve"> Anecdotally reported above, in note 1</w:t>
      </w:r>
      <w:r w:rsidR="005C1F76">
        <w:t>2</w:t>
      </w:r>
      <w:r>
        <w:t xml:space="preserve">; Goldin and Katz, </w:t>
      </w:r>
      <w:r w:rsidR="00A54F07">
        <w:rPr>
          <w:i/>
          <w:iCs/>
        </w:rPr>
        <w:t>Race</w:t>
      </w:r>
      <w:r w:rsidR="00A54F07">
        <w:t>,</w:t>
      </w:r>
      <w:r>
        <w:t> 328, is an example of the appeal to test results.</w:t>
      </w:r>
    </w:p>
  </w:endnote>
  <w:endnote w:id="19">
    <w:p w14:paraId="118118FE" w14:textId="7D06BE82" w:rsidR="00F853F9" w:rsidRDefault="00F853F9">
      <w:pPr>
        <w:pStyle w:val="EndnoteText"/>
      </w:pPr>
      <w:r>
        <w:rPr>
          <w:rStyle w:val="EndnoteReference"/>
        </w:rPr>
        <w:endnoteRef/>
      </w:r>
      <w:r>
        <w:t xml:space="preserve"> Goldin and Katz, </w:t>
      </w:r>
      <w:r w:rsidR="00A54F07">
        <w:rPr>
          <w:i/>
          <w:iCs/>
        </w:rPr>
        <w:t>Race</w:t>
      </w:r>
      <w:r w:rsidR="00A54F07">
        <w:t>,</w:t>
      </w:r>
      <w:r>
        <w:t> 325, cf. 83, 347, do make a plausible case that more years in school, and more diplomas, engender higher salaries; from the individual’s point of view, “education is still a very good investment.” But when an arms race is centered on a resource that cannot be directly measured, those sorts of payoffs are compatible with dwindling instructional achievement, as those years and diplomas are progressively hollowed out, and compatible even when sectors with greater investments in advanced technologies hire workers who have spent more years in school (107). Keep in mind that the authors “do not use direct evidence on skill-based technological change, but deduce it from…relative demand change estimates” (292). The claim that education has provided skills required by new manufacturing and agricultural techniques largely rests on the early twentieth century (e.g., 64f, 76f, 113), and it is noteworthy that the skills in question—such as “mechanical drawing, algebra and geometry, and…a fair command of English” (176)—are assured by a high school diploma no longer. And indeed, some of the authors’ “results imply that high school graduates and dropouts are far closer substitutes today [in the job market] than they were prior to the 1950s” (305).</w:t>
      </w:r>
    </w:p>
  </w:endnote>
  <w:endnote w:id="20">
    <w:p w14:paraId="20A892C1" w14:textId="77777777" w:rsidR="00F853F9" w:rsidRDefault="00F853F9">
      <w:pPr>
        <w:pStyle w:val="EndnoteText"/>
      </w:pPr>
      <w:r>
        <w:rPr>
          <w:rStyle w:val="EndnoteReference"/>
        </w:rPr>
        <w:endnoteRef/>
      </w:r>
      <w:r>
        <w:t xml:space="preserve"> Is there an even larger cost? Maybe. Most developed countries are experiencing demographic collapse. One plausible cause of the crisis-in-progress is overly lengthy front-loaded education, which postpones the formation of families and defers </w:t>
      </w:r>
      <w:proofErr w:type="spellStart"/>
      <w:r>
        <w:t>childraising</w:t>
      </w:r>
      <w:proofErr w:type="spellEnd"/>
      <w:r>
        <w:t>.</w:t>
      </w:r>
    </w:p>
    <w:p w14:paraId="7E12BEB7" w14:textId="77777777" w:rsidR="00F853F9" w:rsidRDefault="00F853F9">
      <w:pPr>
        <w:pStyle w:val="EndnoteText"/>
      </w:pPr>
      <w:r>
        <w:t>And how far might that overly lengthy course of study be compressed? These are outliers, but philosophers will remember that Hume finished college in his early teens, that Kant’s students were teenagers as well, and that Mill’s home-schooling left him with the equivalent of multiple PhDs by his mid-teens.</w:t>
      </w:r>
    </w:p>
  </w:endnote>
  <w:endnote w:id="21">
    <w:p w14:paraId="302B730F" w14:textId="20926B64" w:rsidR="00F853F9" w:rsidRDefault="00F853F9">
      <w:pPr>
        <w:pStyle w:val="EndnoteText"/>
      </w:pPr>
      <w:r>
        <w:rPr>
          <w:rStyle w:val="EndnoteReference"/>
        </w:rPr>
        <w:endnoteRef/>
      </w:r>
      <w:r>
        <w:t xml:space="preserve"> </w:t>
      </w:r>
      <w:r w:rsidR="00A54F07">
        <w:t xml:space="preserve">Michael </w:t>
      </w:r>
      <w:r>
        <w:t>Bratman,</w:t>
      </w:r>
      <w:r w:rsidR="00A54F07">
        <w:t xml:space="preserve"> </w:t>
      </w:r>
      <w:r w:rsidR="00A54F07">
        <w:rPr>
          <w:i/>
          <w:iCs/>
        </w:rPr>
        <w:t>Shared and Institutional Agency</w:t>
      </w:r>
      <w:r>
        <w:t xml:space="preserve"> </w:t>
      </w:r>
      <w:r w:rsidR="00A54F07">
        <w:t xml:space="preserve">(Oxford University Press, </w:t>
      </w:r>
      <w:r>
        <w:t>2022</w:t>
      </w:r>
      <w:r w:rsidR="00A54F07">
        <w:t>)</w:t>
      </w:r>
      <w:r>
        <w:t>, unpacks that initial proposition.</w:t>
      </w:r>
    </w:p>
  </w:endnote>
  <w:endnote w:id="22">
    <w:p w14:paraId="0DE9D49A" w14:textId="07C0A247" w:rsidR="00F853F9" w:rsidRDefault="00F853F9">
      <w:pPr>
        <w:pStyle w:val="EndnoteText"/>
      </w:pPr>
      <w:r>
        <w:rPr>
          <w:rStyle w:val="EndnoteReference"/>
        </w:rPr>
        <w:endnoteRef/>
      </w:r>
      <w:r>
        <w:t xml:space="preserve"> For historical background, see </w:t>
      </w:r>
      <w:r w:rsidR="009331F6">
        <w:t xml:space="preserve">Herbert </w:t>
      </w:r>
      <w:r>
        <w:t>Simon,</w:t>
      </w:r>
      <w:r w:rsidR="009331F6">
        <w:t xml:space="preserve"> </w:t>
      </w:r>
      <w:r w:rsidR="009331F6">
        <w:rPr>
          <w:i/>
          <w:iCs/>
        </w:rPr>
        <w:t>Models of Man</w:t>
      </w:r>
      <w:r w:rsidR="009331F6">
        <w:t xml:space="preserve"> (John Wiley and Sons,</w:t>
      </w:r>
      <w:r>
        <w:t xml:space="preserve"> 1957</w:t>
      </w:r>
      <w:r w:rsidR="009331F6">
        <w:t>)</w:t>
      </w:r>
      <w:r>
        <w:t xml:space="preserve">, and </w:t>
      </w:r>
      <w:r w:rsidR="009331F6">
        <w:t xml:space="preserve">John </w:t>
      </w:r>
      <w:r>
        <w:t>Conlisk,</w:t>
      </w:r>
      <w:r w:rsidR="009331F6">
        <w:t xml:space="preserve"> “Why Bounded Rationality?”, </w:t>
      </w:r>
      <w:r w:rsidR="009331F6">
        <w:rPr>
          <w:i/>
          <w:iCs/>
        </w:rPr>
        <w:t>Journal of Economic Literature</w:t>
      </w:r>
      <w:r w:rsidR="009331F6">
        <w:t xml:space="preserve"> 34 (1996): 669-700</w:t>
      </w:r>
      <w:r>
        <w:t xml:space="preserve">, for an overview of the first generation of work on the subject. For a sense of the range of different sorts of work in the field, see, e.g., </w:t>
      </w:r>
      <w:r w:rsidR="009331F6">
        <w:t xml:space="preserve">Adam </w:t>
      </w:r>
      <w:r>
        <w:t xml:space="preserve">Morton, </w:t>
      </w:r>
      <w:r w:rsidR="009331F6">
        <w:rPr>
          <w:i/>
          <w:iCs/>
        </w:rPr>
        <w:t xml:space="preserve">Disasters and Dilemmas </w:t>
      </w:r>
      <w:r w:rsidR="009331F6">
        <w:t xml:space="preserve">(Blackwell, </w:t>
      </w:r>
      <w:r>
        <w:t>1980</w:t>
      </w:r>
      <w:r w:rsidR="009331F6">
        <w:t>)</w:t>
      </w:r>
      <w:r>
        <w:t xml:space="preserve">, </w:t>
      </w:r>
      <w:r w:rsidR="009331F6">
        <w:t xml:space="preserve">Jonathan </w:t>
      </w:r>
      <w:r>
        <w:t>Bendor,</w:t>
      </w:r>
      <w:r w:rsidR="009331F6">
        <w:t xml:space="preserve"> </w:t>
      </w:r>
      <w:r w:rsidR="009331F6">
        <w:rPr>
          <w:i/>
          <w:iCs/>
        </w:rPr>
        <w:t>Bounded Rationality and Politics</w:t>
      </w:r>
      <w:r w:rsidR="009331F6">
        <w:t xml:space="preserve"> (University of California Press,</w:t>
      </w:r>
      <w:r>
        <w:t xml:space="preserve"> 2010</w:t>
      </w:r>
      <w:r w:rsidR="009331F6">
        <w:t>)</w:t>
      </w:r>
      <w:r>
        <w:t xml:space="preserve">, </w:t>
      </w:r>
      <w:r w:rsidR="009331F6">
        <w:t xml:space="preserve">William </w:t>
      </w:r>
      <w:r>
        <w:t xml:space="preserve">Wimsatt, </w:t>
      </w:r>
      <w:r w:rsidR="009331F6">
        <w:rPr>
          <w:i/>
          <w:iCs/>
        </w:rPr>
        <w:t xml:space="preserve">Re-Engineering Philosophy for Limited Beings </w:t>
      </w:r>
      <w:r w:rsidR="009331F6">
        <w:t xml:space="preserve">(Harvard University Press, </w:t>
      </w:r>
      <w:r w:rsidRPr="009331F6">
        <w:t>2007</w:t>
      </w:r>
      <w:r w:rsidR="009331F6">
        <w:t>)</w:t>
      </w:r>
      <w:r>
        <w:t xml:space="preserve">, and </w:t>
      </w:r>
      <w:r w:rsidR="009331F6">
        <w:t xml:space="preserve">Gerd </w:t>
      </w:r>
      <w:proofErr w:type="spellStart"/>
      <w:r>
        <w:t>Gigerenzer</w:t>
      </w:r>
      <w:proofErr w:type="spellEnd"/>
      <w:r>
        <w:t xml:space="preserve">, </w:t>
      </w:r>
      <w:r w:rsidR="009331F6">
        <w:t xml:space="preserve">Peter Todd, and the ABC Research Group, </w:t>
      </w:r>
      <w:r w:rsidR="009331F6">
        <w:rPr>
          <w:i/>
          <w:iCs/>
        </w:rPr>
        <w:t xml:space="preserve">Simple Heuristics </w:t>
      </w:r>
      <w:r w:rsidR="00020F70">
        <w:rPr>
          <w:i/>
          <w:iCs/>
        </w:rPr>
        <w:t>That Make Us Smart</w:t>
      </w:r>
      <w:r w:rsidR="00020F70">
        <w:t xml:space="preserve"> (Oxford University Press,</w:t>
      </w:r>
      <w:r>
        <w:t xml:space="preserve"> 2000</w:t>
      </w:r>
      <w:r w:rsidR="00020F70">
        <w:t>)</w:t>
      </w:r>
      <w:r>
        <w:t>.</w:t>
      </w:r>
    </w:p>
  </w:endnote>
  <w:endnote w:id="23">
    <w:p w14:paraId="5E8DDCBA" w14:textId="77777777" w:rsidR="00F853F9" w:rsidRDefault="00F853F9">
      <w:pPr>
        <w:pStyle w:val="EndnoteText"/>
      </w:pPr>
      <w:r>
        <w:rPr>
          <w:rStyle w:val="EndnoteReference"/>
        </w:rPr>
        <w:endnoteRef/>
      </w:r>
      <w:r>
        <w:t xml:space="preserve"> It’s easy to assume that this means: jobs that don’t happen behind a desk, and involve manual skills. For my own part, I don’t assume that robotics will not, sooner rather than later, integrate the progress made in artificial intelligence.</w:t>
      </w:r>
    </w:p>
  </w:endnote>
  <w:endnote w:id="24">
    <w:p w14:paraId="0359C209" w14:textId="2ED7565D" w:rsidR="00F853F9" w:rsidRPr="00020F70" w:rsidRDefault="00F853F9">
      <w:pPr>
        <w:pStyle w:val="EndnoteText"/>
      </w:pPr>
      <w:r>
        <w:rPr>
          <w:rStyle w:val="EndnoteReference"/>
        </w:rPr>
        <w:endnoteRef/>
      </w:r>
      <w:r>
        <w:t xml:space="preserve"> Not </w:t>
      </w:r>
      <w:proofErr w:type="gramStart"/>
      <w:r>
        <w:t>that premonitions</w:t>
      </w:r>
      <w:proofErr w:type="gramEnd"/>
      <w:r>
        <w:t xml:space="preserve"> have gone missing, even in the previous era; complaining about “the impression model” of instruction, Israel Scheffler objects that it “fail[s] to make room for radical </w:t>
      </w:r>
      <w:r>
        <w:rPr>
          <w:i/>
          <w:iCs/>
        </w:rPr>
        <w:t>innovation</w:t>
      </w:r>
      <w:r>
        <w:t xml:space="preserve"> by the learner” (</w:t>
      </w:r>
      <w:r w:rsidR="00020F70">
        <w:t xml:space="preserve">“Philosophical Models of Teaching,” in his </w:t>
      </w:r>
      <w:r w:rsidR="00020F70">
        <w:rPr>
          <w:i/>
          <w:iCs/>
        </w:rPr>
        <w:t xml:space="preserve">Reason and Teaching </w:t>
      </w:r>
      <w:r w:rsidR="00442F48">
        <w:t>[</w:t>
      </w:r>
      <w:proofErr w:type="spellStart"/>
      <w:r w:rsidR="00020F70">
        <w:t>Bobbs</w:t>
      </w:r>
      <w:proofErr w:type="spellEnd"/>
      <w:r w:rsidR="00020F70">
        <w:t xml:space="preserve">-Merrill, </w:t>
      </w:r>
      <w:r>
        <w:t>1973</w:t>
      </w:r>
      <w:r w:rsidR="00442F48">
        <w:t>]</w:t>
      </w:r>
      <w:r>
        <w:t>, 71).</w:t>
      </w:r>
    </w:p>
  </w:endnote>
  <w:endnote w:id="25">
    <w:p w14:paraId="25758D6A" w14:textId="77777777" w:rsidR="00F853F9" w:rsidRDefault="00F853F9">
      <w:pPr>
        <w:pStyle w:val="EndnoteText"/>
      </w:pPr>
      <w:r>
        <w:rPr>
          <w:rStyle w:val="EndnoteReference"/>
        </w:rPr>
        <w:endnoteRef/>
      </w:r>
      <w:r>
        <w:t xml:space="preserve"> I’m grateful to </w:t>
      </w:r>
      <w:proofErr w:type="spellStart"/>
      <w:r>
        <w:t>Svantje</w:t>
      </w:r>
      <w:proofErr w:type="spellEnd"/>
      <w:r>
        <w:t xml:space="preserve"> </w:t>
      </w:r>
      <w:proofErr w:type="spellStart"/>
      <w:r>
        <w:t>Guinebert</w:t>
      </w:r>
      <w:proofErr w:type="spellEnd"/>
      <w:r>
        <w:t xml:space="preserve"> for this last point.</w:t>
      </w:r>
    </w:p>
  </w:endnote>
  <w:endnote w:id="26">
    <w:p w14:paraId="29BEF38D" w14:textId="70153EE9" w:rsidR="00F853F9" w:rsidRDefault="00F853F9">
      <w:pPr>
        <w:pStyle w:val="EndnoteText"/>
      </w:pPr>
      <w:r>
        <w:rPr>
          <w:rStyle w:val="EndnoteReference"/>
        </w:rPr>
        <w:endnoteRef/>
      </w:r>
      <w:r>
        <w:t xml:space="preserve"> XAI—explanatory AI—is a research program meant to address this problem; it’s too early to say whether its goals are attainable. See, e.g., </w:t>
      </w:r>
      <w:r w:rsidR="00020F70">
        <w:t xml:space="preserve">Kevin </w:t>
      </w:r>
      <w:r>
        <w:t>Baum</w:t>
      </w:r>
      <w:r w:rsidR="00020F70">
        <w:t xml:space="preserve">, Susanne Mantel, Eva Schmidt, and Timo Speith, “From Responsibility to Reason-Giving Explainable Artificial Intelligence,” </w:t>
      </w:r>
      <w:r w:rsidR="00020F70">
        <w:rPr>
          <w:i/>
          <w:iCs/>
        </w:rPr>
        <w:t xml:space="preserve">Philosophy and Technology </w:t>
      </w:r>
      <w:r w:rsidR="00020F70">
        <w:t>35, no. 12</w:t>
      </w:r>
      <w:r>
        <w:rPr>
          <w:i/>
          <w:iCs/>
        </w:rPr>
        <w:t xml:space="preserve"> </w:t>
      </w:r>
      <w:r w:rsidR="00020F70">
        <w:t>(</w:t>
      </w:r>
      <w:r>
        <w:t>2022</w:t>
      </w:r>
      <w:r w:rsidR="00020F70">
        <w:t>)</w:t>
      </w:r>
      <w:r>
        <w:t>.</w:t>
      </w:r>
    </w:p>
  </w:endnote>
  <w:endnote w:id="27">
    <w:p w14:paraId="1D922C1C" w14:textId="116CE827" w:rsidR="00F853F9" w:rsidRDefault="00F853F9">
      <w:pPr>
        <w:pStyle w:val="EndnoteText"/>
      </w:pPr>
      <w:r>
        <w:rPr>
          <w:rStyle w:val="EndnoteReference"/>
        </w:rPr>
        <w:endnoteRef/>
      </w:r>
      <w:r>
        <w:t xml:space="preserve"> The problem is even deeper than it looks. Although we have opted not to emphasize this more delicate point, I’m going to treat it as an observation that education policy doesn’t only </w:t>
      </w:r>
      <w:r>
        <w:rPr>
          <w:i/>
          <w:iCs/>
        </w:rPr>
        <w:t>displace</w:t>
      </w:r>
      <w:r>
        <w:t xml:space="preserve"> education, it </w:t>
      </w:r>
      <w:r>
        <w:rPr>
          <w:i/>
          <w:iCs/>
        </w:rPr>
        <w:t>ruins</w:t>
      </w:r>
      <w:r>
        <w:t xml:space="preserve"> it. My working hypothesis as to why, which I’m going to run with for the moment, is that administering entirely by policy produces the results you want only when what you </w:t>
      </w:r>
      <w:r>
        <w:rPr>
          <w:i/>
          <w:iCs/>
        </w:rPr>
        <w:t>actually</w:t>
      </w:r>
      <w:r>
        <w:t xml:space="preserve"> want is legible to the organization, which in practice means that it can quantified and measured (</w:t>
      </w:r>
      <w:r w:rsidR="00C2462C">
        <w:t xml:space="preserve">Theodore </w:t>
      </w:r>
      <w:r>
        <w:t>Porter,</w:t>
      </w:r>
      <w:r w:rsidR="00C2462C">
        <w:t xml:space="preserve"> </w:t>
      </w:r>
      <w:r w:rsidR="00C2462C">
        <w:rPr>
          <w:i/>
          <w:iCs/>
        </w:rPr>
        <w:t xml:space="preserve">Trust in Numbers </w:t>
      </w:r>
      <w:r w:rsidR="00A02B12">
        <w:t>[</w:t>
      </w:r>
      <w:r w:rsidR="00C2462C">
        <w:t>Princeton University Press,</w:t>
      </w:r>
      <w:r>
        <w:t xml:space="preserve"> 1995</w:t>
      </w:r>
      <w:r w:rsidR="00A02B12">
        <w:t>]</w:t>
      </w:r>
      <w:r>
        <w:t>). That’s to say, I’m assuming, pending proper argument, that micromanagement in education doesn’t work out well in part because we don’t have metrics that track education itself, rather than loosely connected proxies.</w:t>
      </w:r>
    </w:p>
    <w:p w14:paraId="0BB2F761" w14:textId="0EA54C1E" w:rsidR="00F853F9" w:rsidRDefault="00F853F9">
      <w:pPr>
        <w:pStyle w:val="EndnoteText"/>
      </w:pPr>
      <w:r>
        <w:t xml:space="preserve">Now, it is by this point a familiar concern in discussions of the so-called value alignment and control problems that AI systems can be expected to peel proxy indicators away from the real targets. (For a popular presentation of the issue, see </w:t>
      </w:r>
      <w:r w:rsidR="00C2462C">
        <w:t xml:space="preserve">Stuart </w:t>
      </w:r>
      <w:r>
        <w:t>Russell,</w:t>
      </w:r>
      <w:r w:rsidR="00C2462C">
        <w:t xml:space="preserve"> </w:t>
      </w:r>
      <w:r w:rsidR="00C2462C">
        <w:rPr>
          <w:i/>
          <w:iCs/>
        </w:rPr>
        <w:t xml:space="preserve">Human Compatible:  Artificial Intelligence and the Problem of Control </w:t>
      </w:r>
      <w:r w:rsidR="00A02B12">
        <w:t>[</w:t>
      </w:r>
      <w:r w:rsidR="00233551">
        <w:t>Penguin,</w:t>
      </w:r>
      <w:r>
        <w:t xml:space="preserve"> 2019</w:t>
      </w:r>
      <w:r w:rsidR="00A02B12">
        <w:t>]</w:t>
      </w:r>
      <w:r>
        <w:t>.) As hard as it has been to track real performance hitherto, it is about to get much harder.</w:t>
      </w:r>
    </w:p>
  </w:endnote>
  <w:endnote w:id="28">
    <w:p w14:paraId="6BC90978" w14:textId="6ECB190D" w:rsidR="00F853F9" w:rsidRDefault="00F853F9">
      <w:pPr>
        <w:pStyle w:val="EndnoteText"/>
      </w:pPr>
      <w:r>
        <w:rPr>
          <w:rStyle w:val="EndnoteReference"/>
        </w:rPr>
        <w:endnoteRef/>
      </w:r>
      <w:r>
        <w:t xml:space="preserve"> </w:t>
      </w:r>
      <w:r w:rsidR="00233551">
        <w:t xml:space="preserve">Ivan </w:t>
      </w:r>
      <w:r>
        <w:t xml:space="preserve">Illich, </w:t>
      </w:r>
      <w:proofErr w:type="spellStart"/>
      <w:r w:rsidR="00233551">
        <w:rPr>
          <w:i/>
          <w:iCs/>
        </w:rPr>
        <w:t>Deschooling</w:t>
      </w:r>
      <w:proofErr w:type="spellEnd"/>
      <w:r w:rsidR="00233551">
        <w:rPr>
          <w:i/>
          <w:iCs/>
        </w:rPr>
        <w:t xml:space="preserve"> Society </w:t>
      </w:r>
      <w:r w:rsidR="00233551">
        <w:t xml:space="preserve">(Marion Boyars, </w:t>
      </w:r>
      <w:r>
        <w:t>2002</w:t>
      </w:r>
      <w:r w:rsidR="00233551">
        <w:t>)</w:t>
      </w:r>
      <w:r>
        <w:t>, 69, italics deleted; the built-in conflict appears repeatedly, as for instance when he complains about “increases in the institutionalization of values,” to which the response is to be “research to create institutions which serve personal, creative, and autonomous interaction” (</w:t>
      </w:r>
      <w:r w:rsidR="00233551">
        <w:t>at</w:t>
      </w:r>
      <w:r>
        <w:t> 2; he calls these “convivial” institutions).</w:t>
      </w:r>
    </w:p>
  </w:endnote>
  <w:endnote w:id="29">
    <w:p w14:paraId="1A7D3A81" w14:textId="77777777" w:rsidR="00F853F9" w:rsidRDefault="00F853F9">
      <w:pPr>
        <w:pStyle w:val="EndnoteText"/>
      </w:pPr>
      <w:r>
        <w:rPr>
          <w:rStyle w:val="EndnoteReference"/>
        </w:rPr>
        <w:endnoteRef/>
      </w:r>
      <w:r>
        <w:t xml:space="preserve"> The utilitarians’ “monitorial system” was to have pupils teaching pupils in lower grades; as it turned out, almost none of those pupils will prove to be another James Mill. Dewey’s program, of having pupils follow the personally engaging problems they are attempting to solve from one subject area to the next, required teachers with astonishingly broad interdisciplinary skill sets.</w:t>
      </w:r>
    </w:p>
  </w:endnote>
  <w:endnote w:id="30">
    <w:p w14:paraId="513A2EB8" w14:textId="77777777" w:rsidR="00F853F9" w:rsidRDefault="00F853F9">
      <w:pPr>
        <w:pStyle w:val="EndnoteText"/>
      </w:pPr>
      <w:r>
        <w:rPr>
          <w:rStyle w:val="EndnoteReference"/>
        </w:rPr>
        <w:endnoteRef/>
      </w:r>
      <w:r>
        <w:t xml:space="preserve"> Keep in mind that the methods we now use to assess personnel quality are on the wrong side of this problem. When we tenure people for making themselves look good on paper, where the paperwork is standardly hundreds of pages, and where a thirty-page document governs the review of that paperwork, the implicit message is: if you care about anything real, do it somewhere else.</w:t>
      </w:r>
    </w:p>
  </w:endnote>
  <w:endnote w:id="31">
    <w:p w14:paraId="401F2A1A" w14:textId="1D05A8B8" w:rsidR="00F853F9" w:rsidRDefault="00F853F9">
      <w:pPr>
        <w:pStyle w:val="EndnoteText"/>
      </w:pPr>
      <w:r>
        <w:rPr>
          <w:rStyle w:val="EndnoteReference"/>
        </w:rPr>
        <w:endnoteRef/>
      </w:r>
      <w:r>
        <w:t xml:space="preserve"> </w:t>
      </w:r>
      <w:r w:rsidR="00233551">
        <w:t xml:space="preserve">Bernard </w:t>
      </w:r>
      <w:r>
        <w:t xml:space="preserve">Williams, </w:t>
      </w:r>
      <w:r w:rsidR="00233551">
        <w:rPr>
          <w:i/>
          <w:iCs/>
        </w:rPr>
        <w:t xml:space="preserve">Obscenity and Film Censorship:  An Abridgement of the Williams Report </w:t>
      </w:r>
      <w:r w:rsidR="00233551">
        <w:t xml:space="preserve">(Cambridge University Press, </w:t>
      </w:r>
      <w:r>
        <w:t>1981</w:t>
      </w:r>
      <w:r w:rsidR="00233551">
        <w:t>)</w:t>
      </w:r>
      <w:r>
        <w:t>, used its thoughtful investigation of a problem in applied ethics, by one of the strongest theoretical moral philosophers of his generation, as an occasion to home in on methodological differences across that theoretical-applied divide. For instance, the proposal it advanced took as its starting point roughly what is known as Mill’s Harm Principle—importantly, not because there was a supporting argument for it, and not because Williams thought it to be correct, but rather because, after interviewing a range of witnesses from across Britain’s elites, it was the one point of agreement amongst them. In applied ethics, policy proposals have to be implementable, and that generally requires this sort of broad agreement.</w:t>
      </w:r>
    </w:p>
    <w:p w14:paraId="069EF872" w14:textId="77777777" w:rsidR="00F853F9" w:rsidRDefault="00F853F9">
      <w:pPr>
        <w:pStyle w:val="EndnoteText"/>
      </w:pPr>
      <w:r>
        <w:t>Here we have another such methodological difference, in this case having to do with one of the most deeply embedded rules of pure philosophizing. But notice the connection of the methodological demands to the aptitude I have been advertising as the focus of the education of the future: knowing how a solution that shouldn’t work on principle can be made to work after all, because you can see where and how the principle gives out, is pataphysics at work.</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C1C66" w14:textId="77777777" w:rsidR="00FA1AF7" w:rsidRDefault="00FA1AF7">
      <w:r>
        <w:separator/>
      </w:r>
    </w:p>
  </w:footnote>
  <w:footnote w:type="continuationSeparator" w:id="0">
    <w:p w14:paraId="72E003B9" w14:textId="77777777" w:rsidR="00FA1AF7" w:rsidRDefault="00FA1A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8C7E471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00B"/>
    <w:rsid w:val="00020F70"/>
    <w:rsid w:val="000556C1"/>
    <w:rsid w:val="0009553B"/>
    <w:rsid w:val="000E6E06"/>
    <w:rsid w:val="00111A24"/>
    <w:rsid w:val="00123C76"/>
    <w:rsid w:val="002142F3"/>
    <w:rsid w:val="00233551"/>
    <w:rsid w:val="002F6AFE"/>
    <w:rsid w:val="003434C1"/>
    <w:rsid w:val="003F2E88"/>
    <w:rsid w:val="00407C9F"/>
    <w:rsid w:val="00442F48"/>
    <w:rsid w:val="004F3321"/>
    <w:rsid w:val="0051740B"/>
    <w:rsid w:val="005C1F76"/>
    <w:rsid w:val="005E53D9"/>
    <w:rsid w:val="00610DFB"/>
    <w:rsid w:val="006C1456"/>
    <w:rsid w:val="006C2142"/>
    <w:rsid w:val="006E4220"/>
    <w:rsid w:val="008B1F50"/>
    <w:rsid w:val="008C68BF"/>
    <w:rsid w:val="00906F4E"/>
    <w:rsid w:val="009331F6"/>
    <w:rsid w:val="009E108C"/>
    <w:rsid w:val="00A02B12"/>
    <w:rsid w:val="00A54F07"/>
    <w:rsid w:val="00BE1C17"/>
    <w:rsid w:val="00C2462C"/>
    <w:rsid w:val="00C80486"/>
    <w:rsid w:val="00CF560B"/>
    <w:rsid w:val="00D92A20"/>
    <w:rsid w:val="00E53CC6"/>
    <w:rsid w:val="00EF500B"/>
    <w:rsid w:val="00F8135D"/>
    <w:rsid w:val="00F853F9"/>
    <w:rsid w:val="00FA1AF7"/>
    <w:rsid w:val="00FE2BE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7521A"/>
  <w15:docId w15:val="{C2C3669D-9CE6-42E2-90DD-D4E93D333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EndnoteText">
    <w:name w:val="endnote text"/>
    <w:basedOn w:val="Normal"/>
    <w:link w:val="EndnoteTextChar"/>
    <w:rsid w:val="00F853F9"/>
    <w:pPr>
      <w:spacing w:after="0"/>
    </w:pPr>
    <w:rPr>
      <w:sz w:val="20"/>
      <w:szCs w:val="20"/>
    </w:rPr>
  </w:style>
  <w:style w:type="character" w:customStyle="1" w:styleId="EndnoteTextChar">
    <w:name w:val="Endnote Text Char"/>
    <w:basedOn w:val="DefaultParagraphFont"/>
    <w:link w:val="EndnoteText"/>
    <w:rsid w:val="00F853F9"/>
    <w:rPr>
      <w:sz w:val="20"/>
      <w:szCs w:val="20"/>
    </w:rPr>
  </w:style>
  <w:style w:type="character" w:styleId="EndnoteReference">
    <w:name w:val="endnote reference"/>
    <w:basedOn w:val="DefaultParagraphFont"/>
    <w:rsid w:val="00F853F9"/>
    <w:rPr>
      <w:vertAlign w:val="superscript"/>
    </w:rPr>
  </w:style>
  <w:style w:type="character" w:styleId="UnresolvedMention">
    <w:name w:val="Unresolved Mention"/>
    <w:basedOn w:val="DefaultParagraphFont"/>
    <w:uiPriority w:val="99"/>
    <w:semiHidden/>
    <w:unhideWhenUsed/>
    <w:rsid w:val="00C80486"/>
    <w:rPr>
      <w:color w:val="605E5C"/>
      <w:shd w:val="clear" w:color="auto" w:fill="E1DFDD"/>
    </w:rPr>
  </w:style>
  <w:style w:type="paragraph" w:styleId="PlainText">
    <w:name w:val="Plain Text"/>
    <w:basedOn w:val="Normal"/>
    <w:link w:val="PlainTextChar"/>
    <w:uiPriority w:val="99"/>
    <w:unhideWhenUsed/>
    <w:rsid w:val="00C80486"/>
    <w:pPr>
      <w:spacing w:after="0"/>
    </w:pPr>
    <w:rPr>
      <w:rFonts w:ascii="Consolas" w:hAnsi="Consolas"/>
      <w:sz w:val="21"/>
      <w:szCs w:val="21"/>
    </w:rPr>
  </w:style>
  <w:style w:type="character" w:customStyle="1" w:styleId="PlainTextChar">
    <w:name w:val="Plain Text Char"/>
    <w:basedOn w:val="DefaultParagraphFont"/>
    <w:link w:val="PlainText"/>
    <w:uiPriority w:val="99"/>
    <w:rsid w:val="00C80486"/>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lijah.millgra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20235</TotalTime>
  <Pages>19</Pages>
  <Words>8166</Words>
  <Characters>46550</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From Policy Creep to Pataphysics (in Higher Education)</vt:lpstr>
    </vt:vector>
  </TitlesOfParts>
  <Company/>
  <LinksUpToDate>false</LinksUpToDate>
  <CharactersWithSpaces>54607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Policy Creep to Pataphysics (in Higher Education)</dc:title>
  <dc:subject/>
  <dc:creator>Elijah Millgram Department of Philosophy University of Utah Salt Lake City UT 84112 elijah.millgram@gmail.com</dc:creator>
  <cp:keywords/>
  <dc:description/>
  <cp:lastModifiedBy>ELIJAH MILLGRAM</cp:lastModifiedBy>
  <cp:revision>13</cp:revision>
  <cp:lastPrinted>2025-12-04T22:35:00Z</cp:lastPrinted>
  <dcterms:created xsi:type="dcterms:W3CDTF">2025-02-12T18:36:00Z</dcterms:created>
  <dcterms:modified xsi:type="dcterms:W3CDTF">2025-12-10T17:45:00Z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
  </property>
</Properties>
</file>